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ED52" w14:textId="77777777" w:rsidR="0061481B" w:rsidRPr="008902B8" w:rsidRDefault="008902B8" w:rsidP="00141466">
      <w:pPr>
        <w:rPr>
          <w:sz w:val="20"/>
          <w:lang w:val="uk-UA"/>
        </w:rPr>
      </w:pPr>
      <w:r w:rsidRPr="008902B8">
        <w:rPr>
          <w:sz w:val="20"/>
          <w:lang w:val="uk-UA"/>
        </w:rPr>
        <w:t xml:space="preserve">УДК </w:t>
      </w:r>
      <w:r w:rsidR="00EE13C9">
        <w:rPr>
          <w:sz w:val="20"/>
          <w:lang w:val="uk-UA"/>
        </w:rPr>
        <w:t>33</w:t>
      </w:r>
      <w:r w:rsidR="00806CB4">
        <w:rPr>
          <w:sz w:val="20"/>
          <w:lang w:val="uk-UA"/>
        </w:rPr>
        <w:t>6.773</w:t>
      </w:r>
    </w:p>
    <w:p w14:paraId="7D122E8A" w14:textId="77777777" w:rsidR="008902B8" w:rsidRPr="00FD5A1B" w:rsidRDefault="008902B8" w:rsidP="00141466">
      <w:pPr>
        <w:rPr>
          <w:rFonts w:cs="Arial"/>
          <w:sz w:val="16"/>
          <w:szCs w:val="20"/>
          <w:lang w:val="uk-UA"/>
        </w:rPr>
      </w:pPr>
    </w:p>
    <w:p w14:paraId="3D905679" w14:textId="77777777" w:rsidR="0061481B" w:rsidRPr="00000613" w:rsidRDefault="00000613" w:rsidP="00141466">
      <w:pPr>
        <w:rPr>
          <w:rFonts w:cs="Arial"/>
          <w:sz w:val="20"/>
          <w:szCs w:val="20"/>
          <w:vertAlign w:val="superscript"/>
          <w:lang w:val="uk-UA"/>
        </w:rPr>
      </w:pPr>
      <w:r>
        <w:rPr>
          <w:rFonts w:cs="Arial"/>
          <w:sz w:val="20"/>
          <w:szCs w:val="20"/>
          <w:lang w:val="uk-UA"/>
        </w:rPr>
        <w:t xml:space="preserve">М. Берест, </w:t>
      </w:r>
      <w:r w:rsidR="0036594C">
        <w:rPr>
          <w:rFonts w:cs="Arial"/>
          <w:sz w:val="20"/>
          <w:szCs w:val="20"/>
          <w:lang w:val="uk-UA"/>
        </w:rPr>
        <w:t>М</w:t>
      </w:r>
      <w:r w:rsidR="00FD5A1B">
        <w:rPr>
          <w:rFonts w:cs="Arial"/>
          <w:sz w:val="20"/>
          <w:szCs w:val="20"/>
          <w:lang w:val="uk-UA"/>
        </w:rPr>
        <w:t>.</w:t>
      </w:r>
      <w:r w:rsidR="0036594C">
        <w:rPr>
          <w:rFonts w:cs="Arial"/>
          <w:sz w:val="20"/>
          <w:szCs w:val="20"/>
          <w:lang w:val="uk-UA"/>
        </w:rPr>
        <w:t xml:space="preserve"> Дудка</w:t>
      </w:r>
    </w:p>
    <w:p w14:paraId="655240FD" w14:textId="77777777" w:rsidR="006F0DD5" w:rsidRPr="00141466" w:rsidRDefault="006F0DD5" w:rsidP="00141466">
      <w:pPr>
        <w:rPr>
          <w:rFonts w:cs="Arial"/>
          <w:sz w:val="16"/>
          <w:szCs w:val="20"/>
          <w:lang w:val="uk-UA"/>
        </w:rPr>
      </w:pPr>
      <w:bookmarkStart w:id="0" w:name="_GoBack"/>
      <w:bookmarkEnd w:id="0"/>
    </w:p>
    <w:p w14:paraId="1F940C5E" w14:textId="77777777" w:rsidR="006F0DD5" w:rsidRPr="001B1019" w:rsidRDefault="00000613" w:rsidP="00141466">
      <w:pPr>
        <w:rPr>
          <w:rFonts w:cs="Arial"/>
          <w:i/>
          <w:sz w:val="20"/>
          <w:szCs w:val="20"/>
          <w:lang w:val="uk-UA"/>
        </w:rPr>
      </w:pPr>
      <w:proofErr w:type="spellStart"/>
      <w:r w:rsidRPr="00000613">
        <w:rPr>
          <w:rStyle w:val="a3"/>
          <w:i/>
          <w:color w:val="000000" w:themeColor="text1"/>
          <w:sz w:val="20"/>
          <w:szCs w:val="20"/>
          <w:u w:val="none"/>
          <w:shd w:val="clear" w:color="auto" w:fill="FFFFFF"/>
        </w:rPr>
        <w:t>marina</w:t>
      </w:r>
      <w:proofErr w:type="spellEnd"/>
      <w:r w:rsidRPr="00000613">
        <w:rPr>
          <w:rStyle w:val="a3"/>
          <w:i/>
          <w:color w:val="000000" w:themeColor="text1"/>
          <w:sz w:val="20"/>
          <w:szCs w:val="20"/>
          <w:u w:val="none"/>
          <w:shd w:val="clear" w:color="auto" w:fill="FFFFFF"/>
          <w:lang w:val="uk-UA"/>
        </w:rPr>
        <w:t>_</w:t>
      </w:r>
      <w:proofErr w:type="spellStart"/>
      <w:r w:rsidRPr="00000613">
        <w:rPr>
          <w:rStyle w:val="a3"/>
          <w:i/>
          <w:color w:val="000000" w:themeColor="text1"/>
          <w:sz w:val="20"/>
          <w:szCs w:val="20"/>
          <w:u w:val="none"/>
          <w:shd w:val="clear" w:color="auto" w:fill="FFFFFF"/>
        </w:rPr>
        <w:t>berest</w:t>
      </w:r>
      <w:proofErr w:type="spellEnd"/>
      <w:r w:rsidRPr="00000613">
        <w:rPr>
          <w:rStyle w:val="a3"/>
          <w:i/>
          <w:color w:val="000000" w:themeColor="text1"/>
          <w:sz w:val="20"/>
          <w:szCs w:val="20"/>
          <w:u w:val="none"/>
          <w:shd w:val="clear" w:color="auto" w:fill="FFFFFF"/>
          <w:lang w:val="uk-UA"/>
        </w:rPr>
        <w:t>@</w:t>
      </w:r>
      <w:proofErr w:type="spellStart"/>
      <w:r w:rsidRPr="00000613">
        <w:rPr>
          <w:rStyle w:val="a3"/>
          <w:i/>
          <w:color w:val="000000" w:themeColor="text1"/>
          <w:sz w:val="20"/>
          <w:szCs w:val="20"/>
          <w:u w:val="none"/>
          <w:shd w:val="clear" w:color="auto" w:fill="FFFFFF"/>
        </w:rPr>
        <w:t>ukr</w:t>
      </w:r>
      <w:proofErr w:type="spellEnd"/>
      <w:r w:rsidRPr="00000613">
        <w:rPr>
          <w:rStyle w:val="a3"/>
          <w:i/>
          <w:color w:val="000000" w:themeColor="text1"/>
          <w:sz w:val="20"/>
          <w:szCs w:val="20"/>
          <w:u w:val="none"/>
          <w:shd w:val="clear" w:color="auto" w:fill="FFFFFF"/>
          <w:lang w:val="uk-UA"/>
        </w:rPr>
        <w:t>.</w:t>
      </w:r>
      <w:proofErr w:type="spellStart"/>
      <w:r w:rsidRPr="00000613">
        <w:rPr>
          <w:rStyle w:val="a3"/>
          <w:i/>
          <w:color w:val="000000" w:themeColor="text1"/>
          <w:sz w:val="20"/>
          <w:szCs w:val="20"/>
          <w:u w:val="none"/>
          <w:shd w:val="clear" w:color="auto" w:fill="FFFFFF"/>
        </w:rPr>
        <w:t>net</w:t>
      </w:r>
      <w:proofErr w:type="spellEnd"/>
      <w:r w:rsidRPr="00000613">
        <w:rPr>
          <w:lang w:val="uk-UA"/>
        </w:rPr>
        <w:t xml:space="preserve">, </w:t>
      </w:r>
      <w:hyperlink r:id="rId8" w:history="1">
        <w:r w:rsidR="000849ED" w:rsidRPr="000849ED">
          <w:rPr>
            <w:rStyle w:val="a3"/>
            <w:i/>
            <w:color w:val="000000" w:themeColor="text1"/>
            <w:sz w:val="20"/>
            <w:szCs w:val="20"/>
            <w:u w:val="none"/>
            <w:shd w:val="clear" w:color="auto" w:fill="FFFFFF"/>
          </w:rPr>
          <w:t>dudkamaya</w:t>
        </w:r>
        <w:r w:rsidR="000849ED" w:rsidRPr="000849ED">
          <w:rPr>
            <w:rStyle w:val="a3"/>
            <w:i/>
            <w:color w:val="000000" w:themeColor="text1"/>
            <w:sz w:val="20"/>
            <w:szCs w:val="20"/>
            <w:u w:val="none"/>
            <w:shd w:val="clear" w:color="auto" w:fill="FFFFFF"/>
            <w:lang w:val="uk-UA"/>
          </w:rPr>
          <w:t>@</w:t>
        </w:r>
        <w:r w:rsidR="000849ED" w:rsidRPr="000849ED">
          <w:rPr>
            <w:rStyle w:val="a3"/>
            <w:i/>
            <w:color w:val="000000" w:themeColor="text1"/>
            <w:sz w:val="20"/>
            <w:szCs w:val="20"/>
            <w:u w:val="none"/>
            <w:shd w:val="clear" w:color="auto" w:fill="FFFFFF"/>
          </w:rPr>
          <w:t>gmail</w:t>
        </w:r>
        <w:r w:rsidR="000849ED" w:rsidRPr="000849ED">
          <w:rPr>
            <w:rStyle w:val="a3"/>
            <w:i/>
            <w:color w:val="000000" w:themeColor="text1"/>
            <w:sz w:val="20"/>
            <w:szCs w:val="20"/>
            <w:u w:val="none"/>
            <w:shd w:val="clear" w:color="auto" w:fill="FFFFFF"/>
            <w:lang w:val="uk-UA"/>
          </w:rPr>
          <w:t>.</w:t>
        </w:r>
        <w:proofErr w:type="spellStart"/>
        <w:r w:rsidR="000849ED" w:rsidRPr="000849ED">
          <w:rPr>
            <w:rStyle w:val="a3"/>
            <w:i/>
            <w:color w:val="000000" w:themeColor="text1"/>
            <w:sz w:val="20"/>
            <w:szCs w:val="20"/>
            <w:u w:val="none"/>
            <w:shd w:val="clear" w:color="auto" w:fill="FFFFFF"/>
          </w:rPr>
          <w:t>com</w:t>
        </w:r>
        <w:proofErr w:type="spellEnd"/>
      </w:hyperlink>
    </w:p>
    <w:p w14:paraId="0DAB3F8E" w14:textId="77777777" w:rsidR="005B0603" w:rsidRPr="0061481B" w:rsidRDefault="005B0603" w:rsidP="00141466">
      <w:pPr>
        <w:rPr>
          <w:rFonts w:cs="Arial"/>
          <w:sz w:val="16"/>
          <w:szCs w:val="20"/>
          <w:lang w:val="uk-UA"/>
        </w:rPr>
      </w:pPr>
    </w:p>
    <w:p w14:paraId="7DB1D00C" w14:textId="77777777" w:rsidR="00BA7DD7" w:rsidRPr="00FD5A1B" w:rsidRDefault="00FD5A1B" w:rsidP="00FD5A1B">
      <w:pPr>
        <w:rPr>
          <w:rFonts w:cs="Arial"/>
          <w:i/>
          <w:sz w:val="20"/>
          <w:szCs w:val="20"/>
          <w:lang w:val="uk-UA"/>
        </w:rPr>
      </w:pPr>
      <w:r w:rsidRPr="00B725BE">
        <w:rPr>
          <w:rFonts w:cs="Arial"/>
          <w:i/>
          <w:sz w:val="20"/>
          <w:szCs w:val="20"/>
          <w:lang w:val="uk-UA"/>
        </w:rPr>
        <w:t>Харківський</w:t>
      </w:r>
      <w:r w:rsidR="0036594C">
        <w:rPr>
          <w:rFonts w:cs="Arial"/>
          <w:i/>
          <w:sz w:val="20"/>
          <w:szCs w:val="20"/>
          <w:lang w:val="uk-UA"/>
        </w:rPr>
        <w:t xml:space="preserve"> </w:t>
      </w:r>
      <w:r w:rsidRPr="00B725BE">
        <w:rPr>
          <w:rFonts w:cs="Arial"/>
          <w:i/>
          <w:sz w:val="20"/>
          <w:szCs w:val="20"/>
          <w:lang w:val="uk-UA"/>
        </w:rPr>
        <w:t>національний</w:t>
      </w:r>
      <w:r w:rsidR="0036594C">
        <w:rPr>
          <w:rFonts w:cs="Arial"/>
          <w:i/>
          <w:sz w:val="20"/>
          <w:szCs w:val="20"/>
          <w:lang w:val="uk-UA"/>
        </w:rPr>
        <w:t xml:space="preserve"> </w:t>
      </w:r>
      <w:r w:rsidRPr="00B725BE">
        <w:rPr>
          <w:rFonts w:cs="Arial"/>
          <w:i/>
          <w:sz w:val="20"/>
          <w:szCs w:val="20"/>
          <w:lang w:val="uk-UA"/>
        </w:rPr>
        <w:t>економічний</w:t>
      </w:r>
      <w:r w:rsidR="0036594C">
        <w:rPr>
          <w:rFonts w:cs="Arial"/>
          <w:i/>
          <w:sz w:val="20"/>
          <w:szCs w:val="20"/>
          <w:lang w:val="uk-UA"/>
        </w:rPr>
        <w:t xml:space="preserve"> </w:t>
      </w:r>
      <w:r w:rsidRPr="00B725BE">
        <w:rPr>
          <w:rFonts w:cs="Arial"/>
          <w:i/>
          <w:sz w:val="20"/>
          <w:szCs w:val="20"/>
          <w:lang w:val="uk-UA"/>
        </w:rPr>
        <w:t>університет</w:t>
      </w:r>
      <w:r w:rsidR="0036594C">
        <w:rPr>
          <w:rFonts w:cs="Arial"/>
          <w:i/>
          <w:sz w:val="20"/>
          <w:szCs w:val="20"/>
          <w:lang w:val="uk-UA"/>
        </w:rPr>
        <w:t xml:space="preserve"> </w:t>
      </w:r>
      <w:r w:rsidRPr="00B725BE">
        <w:rPr>
          <w:rFonts w:cs="Arial"/>
          <w:i/>
          <w:sz w:val="20"/>
          <w:szCs w:val="20"/>
          <w:lang w:val="uk-UA"/>
        </w:rPr>
        <w:t xml:space="preserve">ім. С. </w:t>
      </w:r>
      <w:proofErr w:type="spellStart"/>
      <w:r w:rsidRPr="00B725BE">
        <w:rPr>
          <w:rFonts w:cs="Arial"/>
          <w:i/>
          <w:sz w:val="20"/>
          <w:szCs w:val="20"/>
          <w:lang w:val="uk-UA"/>
        </w:rPr>
        <w:t>Кузнеця</w:t>
      </w:r>
      <w:proofErr w:type="spellEnd"/>
      <w:r>
        <w:rPr>
          <w:rFonts w:cs="Arial"/>
          <w:i/>
          <w:sz w:val="20"/>
          <w:szCs w:val="20"/>
          <w:lang w:val="uk-UA"/>
        </w:rPr>
        <w:t>, Харків</w:t>
      </w:r>
    </w:p>
    <w:p w14:paraId="298755AC" w14:textId="77777777" w:rsidR="00141466" w:rsidRPr="00141466" w:rsidRDefault="00141466" w:rsidP="00141466">
      <w:pPr>
        <w:rPr>
          <w:rFonts w:cs="Arial"/>
          <w:i/>
          <w:szCs w:val="20"/>
          <w:lang w:val="uk-UA"/>
        </w:rPr>
      </w:pPr>
    </w:p>
    <w:p w14:paraId="47EE5DF5" w14:textId="77777777" w:rsidR="00BA7DD7" w:rsidRPr="00B725BE" w:rsidRDefault="00567966" w:rsidP="00141466">
      <w:pPr>
        <w:ind w:right="400"/>
        <w:jc w:val="center"/>
        <w:rPr>
          <w:rFonts w:cs="Arial"/>
          <w:szCs w:val="20"/>
          <w:lang w:val="uk-UA"/>
        </w:rPr>
      </w:pPr>
      <w:r>
        <w:rPr>
          <w:rFonts w:ascii="Arial" w:hAnsi="Arial" w:cs="Arial"/>
          <w:b/>
          <w:lang w:val="uk-UA"/>
        </w:rPr>
        <w:t>ДІАГНОСТИКА РОЗВИТКУ КРИЗОВИХ ЯВИЩ В ДІЯЛЬНОСТІ СУБ</w:t>
      </w:r>
      <w:r w:rsidRPr="00567966">
        <w:rPr>
          <w:rFonts w:ascii="Arial" w:hAnsi="Arial" w:cs="Arial"/>
          <w:b/>
        </w:rPr>
        <w:t>’</w:t>
      </w:r>
      <w:r>
        <w:rPr>
          <w:rFonts w:ascii="Arial" w:hAnsi="Arial" w:cs="Arial"/>
          <w:b/>
          <w:lang w:val="uk-UA"/>
        </w:rPr>
        <w:t>ЄКТІВ ГОСПОДАРЮВАННЯ</w:t>
      </w:r>
      <w:r w:rsidR="00C62259">
        <w:rPr>
          <w:rFonts w:ascii="Arial" w:hAnsi="Arial" w:cs="Arial"/>
          <w:b/>
          <w:lang w:val="uk-UA"/>
        </w:rPr>
        <w:br/>
      </w:r>
    </w:p>
    <w:p w14:paraId="1E975BDE" w14:textId="77777777" w:rsidR="00141466" w:rsidRDefault="00141466" w:rsidP="00141466">
      <w:pPr>
        <w:ind w:firstLine="709"/>
        <w:jc w:val="both"/>
        <w:rPr>
          <w:rFonts w:cs="Arial"/>
          <w:sz w:val="20"/>
          <w:szCs w:val="20"/>
          <w:lang w:val="uk-UA"/>
        </w:rPr>
        <w:sectPr w:rsidR="00141466" w:rsidSect="005B06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418" w:left="1418" w:header="709" w:footer="709" w:gutter="0"/>
          <w:cols w:space="708"/>
          <w:docGrid w:linePitch="360"/>
        </w:sectPr>
      </w:pPr>
    </w:p>
    <w:p w14:paraId="2FAC21A6" w14:textId="77777777" w:rsidR="001B1019" w:rsidRPr="001B1019" w:rsidRDefault="00862894" w:rsidP="001B673D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862894">
        <w:rPr>
          <w:sz w:val="20"/>
          <w:szCs w:val="20"/>
          <w:lang w:val="uk-UA"/>
        </w:rPr>
        <w:t>Сучасний етап функціонування економіки України характеризується наявністю та розвитком досить глибоких кризових явищ</w:t>
      </w:r>
      <w:r>
        <w:rPr>
          <w:sz w:val="20"/>
          <w:szCs w:val="20"/>
          <w:lang w:val="uk-UA"/>
        </w:rPr>
        <w:t xml:space="preserve"> в діяльності суб’єктів господарювання</w:t>
      </w:r>
      <w:r w:rsidRPr="00862894">
        <w:rPr>
          <w:sz w:val="20"/>
          <w:szCs w:val="20"/>
          <w:lang w:val="uk-UA"/>
        </w:rPr>
        <w:t>, що зумовлює низьку ефективність</w:t>
      </w:r>
      <w:r>
        <w:rPr>
          <w:sz w:val="20"/>
          <w:szCs w:val="20"/>
          <w:lang w:val="uk-UA"/>
        </w:rPr>
        <w:t xml:space="preserve"> їх</w:t>
      </w:r>
      <w:r w:rsidRPr="00862894">
        <w:rPr>
          <w:sz w:val="20"/>
          <w:szCs w:val="20"/>
          <w:lang w:val="uk-UA"/>
        </w:rPr>
        <w:t xml:space="preserve"> функціонування, погіршення  фінансового стану та приводить до появи високої кількості збиткових підприємств та підприємств-банкрутів. Розвиток виділених тенденцій вимагає широкого впровадження в діяльності суб’єктів господарювання процесів діагностики</w:t>
      </w:r>
      <w:r>
        <w:rPr>
          <w:sz w:val="20"/>
          <w:szCs w:val="20"/>
          <w:lang w:val="uk-UA"/>
        </w:rPr>
        <w:t xml:space="preserve"> розвитку кризових явищ в їх діяльності</w:t>
      </w:r>
      <w:r w:rsidRPr="00862894">
        <w:rPr>
          <w:sz w:val="20"/>
          <w:szCs w:val="20"/>
          <w:lang w:val="uk-UA"/>
        </w:rPr>
        <w:t>. Це обумовлюється тим, що адекватне реагування органів управління підприємством на кризову ситуацію можливе лише на основі своєчасного виявлення та адекватного діагностування симптомів та причин кризи.</w:t>
      </w:r>
      <w:r w:rsidR="001B1019" w:rsidRPr="001B1019">
        <w:rPr>
          <w:sz w:val="20"/>
          <w:szCs w:val="20"/>
          <w:lang w:val="uk-UA"/>
        </w:rPr>
        <w:t xml:space="preserve"> </w:t>
      </w:r>
    </w:p>
    <w:p w14:paraId="7993BA83" w14:textId="77777777" w:rsidR="00A2234B" w:rsidRDefault="00161A83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161A83">
        <w:rPr>
          <w:sz w:val="20"/>
          <w:szCs w:val="20"/>
          <w:lang w:val="uk-UA"/>
        </w:rPr>
        <w:t xml:space="preserve">Метою дослідження є узагальнення </w:t>
      </w:r>
      <w:r>
        <w:rPr>
          <w:sz w:val="20"/>
          <w:szCs w:val="20"/>
          <w:lang w:val="uk-UA"/>
        </w:rPr>
        <w:t xml:space="preserve">та порівняльний аналіз сучасних методичних </w:t>
      </w:r>
      <w:r w:rsidRPr="00161A83">
        <w:rPr>
          <w:sz w:val="20"/>
          <w:szCs w:val="20"/>
          <w:lang w:val="uk-UA"/>
        </w:rPr>
        <w:t xml:space="preserve">підходів </w:t>
      </w:r>
      <w:r>
        <w:rPr>
          <w:sz w:val="20"/>
          <w:szCs w:val="20"/>
          <w:lang w:val="uk-UA"/>
        </w:rPr>
        <w:t xml:space="preserve">до діагностики </w:t>
      </w:r>
      <w:r w:rsidRPr="00161A83">
        <w:rPr>
          <w:sz w:val="20"/>
          <w:szCs w:val="20"/>
          <w:lang w:val="uk-UA"/>
        </w:rPr>
        <w:t xml:space="preserve">розвитку кризових явищ в діяльності </w:t>
      </w:r>
      <w:r>
        <w:rPr>
          <w:sz w:val="20"/>
          <w:szCs w:val="20"/>
          <w:lang w:val="uk-UA"/>
        </w:rPr>
        <w:t>підприємств</w:t>
      </w:r>
      <w:r w:rsidR="00803235">
        <w:rPr>
          <w:sz w:val="20"/>
          <w:szCs w:val="20"/>
          <w:lang w:val="uk-UA"/>
        </w:rPr>
        <w:t>.</w:t>
      </w:r>
      <w:r w:rsidR="00A30C69" w:rsidRPr="0069450C">
        <w:rPr>
          <w:sz w:val="20"/>
          <w:szCs w:val="20"/>
          <w:lang w:val="uk-UA"/>
        </w:rPr>
        <w:t xml:space="preserve"> </w:t>
      </w:r>
    </w:p>
    <w:p w14:paraId="3367324B" w14:textId="77777777" w:rsidR="00161A83" w:rsidRDefault="00161A83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Так, найбільш часто використовуваним діагностичним інструментом, що надає можливість визначити рівень розвитку кризи на підприємстві та виконати прогноз його майбутнього фінансового стану є оцінка</w:t>
      </w:r>
      <w:r w:rsidRPr="00161A83">
        <w:rPr>
          <w:sz w:val="20"/>
          <w:szCs w:val="20"/>
          <w:lang w:val="uk-UA"/>
        </w:rPr>
        <w:t xml:space="preserve"> ймовірності банкрутства</w:t>
      </w:r>
      <w:r>
        <w:rPr>
          <w:sz w:val="20"/>
          <w:szCs w:val="20"/>
          <w:lang w:val="uk-UA"/>
        </w:rPr>
        <w:t xml:space="preserve"> на основі </w:t>
      </w:r>
      <w:proofErr w:type="spellStart"/>
      <w:r>
        <w:rPr>
          <w:sz w:val="20"/>
          <w:szCs w:val="20"/>
          <w:lang w:val="uk-UA"/>
        </w:rPr>
        <w:t>дискримінантних</w:t>
      </w:r>
      <w:proofErr w:type="spellEnd"/>
      <w:r>
        <w:rPr>
          <w:sz w:val="20"/>
          <w:szCs w:val="20"/>
          <w:lang w:val="uk-UA"/>
        </w:rPr>
        <w:t xml:space="preserve"> моделей</w:t>
      </w:r>
      <w:r w:rsidRPr="00161A83">
        <w:rPr>
          <w:sz w:val="20"/>
          <w:szCs w:val="20"/>
          <w:lang w:val="uk-UA"/>
        </w:rPr>
        <w:t>. Аналіз літературних джерел</w:t>
      </w:r>
      <w:r>
        <w:rPr>
          <w:sz w:val="20"/>
          <w:szCs w:val="20"/>
          <w:lang w:val="uk-UA"/>
        </w:rPr>
        <w:t xml:space="preserve"> свідчить про те, що в даний час широко представлені моделі закордонних авторів</w:t>
      </w:r>
      <w:r w:rsidR="00806CB4">
        <w:rPr>
          <w:sz w:val="20"/>
          <w:szCs w:val="20"/>
          <w:lang w:val="uk-UA"/>
        </w:rPr>
        <w:t>,</w:t>
      </w:r>
      <w:r>
        <w:rPr>
          <w:sz w:val="20"/>
          <w:szCs w:val="20"/>
          <w:lang w:val="uk-UA"/>
        </w:rPr>
        <w:t xml:space="preserve"> </w:t>
      </w:r>
      <w:r w:rsidR="00806CB4">
        <w:rPr>
          <w:sz w:val="20"/>
          <w:szCs w:val="20"/>
          <w:lang w:val="uk-UA"/>
        </w:rPr>
        <w:t>однак</w:t>
      </w:r>
      <w:r>
        <w:rPr>
          <w:sz w:val="20"/>
          <w:szCs w:val="20"/>
          <w:lang w:val="uk-UA"/>
        </w:rPr>
        <w:t>, в той же час, формуються та удосконалюються вітчизняні методичні підходи. Проведемо порівняльний аналіз їх змісту та складу.</w:t>
      </w:r>
    </w:p>
    <w:p w14:paraId="19014715" w14:textId="77777777" w:rsidR="00161A83" w:rsidRDefault="00161A83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Так, серед моделей, розроблених зарубіжними науковцями, найчастіше використовуються такі:</w:t>
      </w:r>
    </w:p>
    <w:p w14:paraId="6110B051" w14:textId="77777777" w:rsidR="0081457C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1) </w:t>
      </w:r>
      <w:proofErr w:type="spellStart"/>
      <w:r w:rsidR="0081457C" w:rsidRPr="0081457C">
        <w:rPr>
          <w:sz w:val="20"/>
          <w:szCs w:val="20"/>
          <w:lang w:val="uk-UA"/>
        </w:rPr>
        <w:t>двофакторна</w:t>
      </w:r>
      <w:proofErr w:type="spellEnd"/>
      <w:r w:rsidR="0081457C" w:rsidRPr="0081457C">
        <w:rPr>
          <w:sz w:val="20"/>
          <w:szCs w:val="20"/>
          <w:lang w:val="uk-UA"/>
        </w:rPr>
        <w:t xml:space="preserve"> модель діагностики фінансового стану підприємства Е. Альтмана, </w:t>
      </w:r>
      <w:r w:rsidR="0081457C">
        <w:rPr>
          <w:sz w:val="20"/>
          <w:szCs w:val="20"/>
          <w:lang w:val="uk-UA"/>
        </w:rPr>
        <w:t>в</w:t>
      </w:r>
      <w:r w:rsidR="0081457C" w:rsidRPr="0081457C">
        <w:rPr>
          <w:sz w:val="20"/>
          <w:szCs w:val="20"/>
          <w:lang w:val="uk-UA"/>
        </w:rPr>
        <w:t xml:space="preserve"> </w:t>
      </w:r>
      <w:r w:rsidR="0081457C">
        <w:rPr>
          <w:sz w:val="20"/>
          <w:szCs w:val="20"/>
          <w:lang w:val="uk-UA"/>
        </w:rPr>
        <w:t xml:space="preserve">якій </w:t>
      </w:r>
      <w:r w:rsidR="0081457C" w:rsidRPr="0081457C">
        <w:rPr>
          <w:sz w:val="20"/>
          <w:szCs w:val="20"/>
          <w:lang w:val="uk-UA"/>
        </w:rPr>
        <w:t xml:space="preserve">враховуються </w:t>
      </w:r>
      <w:r w:rsidR="0081457C">
        <w:rPr>
          <w:sz w:val="20"/>
          <w:szCs w:val="20"/>
          <w:lang w:val="uk-UA"/>
        </w:rPr>
        <w:t>лише</w:t>
      </w:r>
      <w:r w:rsidR="0081457C" w:rsidRPr="0081457C">
        <w:rPr>
          <w:sz w:val="20"/>
          <w:szCs w:val="20"/>
          <w:lang w:val="uk-UA"/>
        </w:rPr>
        <w:t xml:space="preserve"> два індикаторн</w:t>
      </w:r>
      <w:r w:rsidR="0081457C">
        <w:rPr>
          <w:sz w:val="20"/>
          <w:szCs w:val="20"/>
          <w:lang w:val="uk-UA"/>
        </w:rPr>
        <w:t>і</w:t>
      </w:r>
      <w:r w:rsidR="0081457C" w:rsidRPr="0081457C">
        <w:rPr>
          <w:sz w:val="20"/>
          <w:szCs w:val="20"/>
          <w:lang w:val="uk-UA"/>
        </w:rPr>
        <w:t xml:space="preserve"> показники: коефіцієнт покриття й коефіцієнт фінансової залежності</w:t>
      </w:r>
      <w:r>
        <w:rPr>
          <w:sz w:val="20"/>
          <w:szCs w:val="20"/>
          <w:lang w:val="uk-UA"/>
        </w:rPr>
        <w:t xml:space="preserve"> </w:t>
      </w:r>
      <w:r w:rsidRPr="00CF111A">
        <w:rPr>
          <w:sz w:val="20"/>
          <w:szCs w:val="20"/>
          <w:lang w:val="uk-UA"/>
        </w:rPr>
        <w:t>[</w:t>
      </w:r>
      <w:r w:rsidR="00192758">
        <w:rPr>
          <w:sz w:val="20"/>
          <w:szCs w:val="20"/>
          <w:lang w:val="uk-UA"/>
        </w:rPr>
        <w:t>1</w:t>
      </w:r>
      <w:r w:rsidRPr="00CF111A">
        <w:rPr>
          <w:sz w:val="20"/>
          <w:szCs w:val="20"/>
          <w:lang w:val="uk-UA"/>
        </w:rPr>
        <w:t>]</w:t>
      </w:r>
      <w:r w:rsidR="0081457C">
        <w:rPr>
          <w:sz w:val="20"/>
          <w:szCs w:val="20"/>
          <w:lang w:val="uk-UA"/>
        </w:rPr>
        <w:t>;</w:t>
      </w:r>
    </w:p>
    <w:p w14:paraId="5848FC66" w14:textId="77777777" w:rsidR="00CF111A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2) </w:t>
      </w:r>
      <w:proofErr w:type="spellStart"/>
      <w:r w:rsidR="0081457C" w:rsidRPr="0081457C">
        <w:rPr>
          <w:sz w:val="20"/>
          <w:szCs w:val="20"/>
          <w:lang w:val="uk-UA"/>
        </w:rPr>
        <w:t>п’ятифакторн</w:t>
      </w:r>
      <w:r w:rsidR="0081457C">
        <w:rPr>
          <w:sz w:val="20"/>
          <w:szCs w:val="20"/>
          <w:lang w:val="uk-UA"/>
        </w:rPr>
        <w:t>а</w:t>
      </w:r>
      <w:proofErr w:type="spellEnd"/>
      <w:r w:rsidR="0081457C" w:rsidRPr="0081457C">
        <w:rPr>
          <w:sz w:val="20"/>
          <w:szCs w:val="20"/>
          <w:lang w:val="uk-UA"/>
        </w:rPr>
        <w:t xml:space="preserve"> модель прогнозування банкрутства Е. Альтман</w:t>
      </w:r>
      <w:r w:rsidR="0081457C">
        <w:rPr>
          <w:sz w:val="20"/>
          <w:szCs w:val="20"/>
          <w:lang w:val="uk-UA"/>
        </w:rPr>
        <w:t>а</w:t>
      </w:r>
      <w:r w:rsidR="0081457C" w:rsidRPr="0081457C">
        <w:rPr>
          <w:sz w:val="20"/>
          <w:szCs w:val="20"/>
          <w:lang w:val="uk-UA"/>
        </w:rPr>
        <w:t xml:space="preserve"> для підприємств, як</w:t>
      </w:r>
      <w:r w:rsidR="0081457C">
        <w:rPr>
          <w:sz w:val="20"/>
          <w:szCs w:val="20"/>
          <w:lang w:val="uk-UA"/>
        </w:rPr>
        <w:t>і</w:t>
      </w:r>
      <w:r w:rsidR="0081457C" w:rsidRPr="0081457C">
        <w:rPr>
          <w:sz w:val="20"/>
          <w:szCs w:val="20"/>
          <w:lang w:val="uk-UA"/>
        </w:rPr>
        <w:t xml:space="preserve"> не котиру</w:t>
      </w:r>
      <w:r w:rsidR="0081457C">
        <w:rPr>
          <w:sz w:val="20"/>
          <w:szCs w:val="20"/>
          <w:lang w:val="uk-UA"/>
        </w:rPr>
        <w:t>ють</w:t>
      </w:r>
      <w:r w:rsidR="0081457C" w:rsidRPr="0081457C">
        <w:rPr>
          <w:sz w:val="20"/>
          <w:szCs w:val="20"/>
          <w:lang w:val="uk-UA"/>
        </w:rPr>
        <w:t xml:space="preserve"> свої акції на біржі</w:t>
      </w:r>
      <w:r w:rsidR="0081457C">
        <w:rPr>
          <w:sz w:val="20"/>
          <w:szCs w:val="20"/>
          <w:lang w:val="uk-UA"/>
        </w:rPr>
        <w:t>,</w:t>
      </w:r>
      <w:r w:rsidR="0081457C" w:rsidRPr="0081457C">
        <w:rPr>
          <w:sz w:val="20"/>
          <w:szCs w:val="20"/>
          <w:lang w:val="uk-UA"/>
        </w:rPr>
        <w:t xml:space="preserve"> </w:t>
      </w:r>
      <w:r w:rsidR="0081457C">
        <w:rPr>
          <w:sz w:val="20"/>
          <w:szCs w:val="20"/>
          <w:lang w:val="uk-UA"/>
        </w:rPr>
        <w:t xml:space="preserve">що </w:t>
      </w:r>
      <w:r w:rsidR="0081457C" w:rsidRPr="0081457C">
        <w:rPr>
          <w:sz w:val="20"/>
          <w:szCs w:val="20"/>
          <w:lang w:val="uk-UA"/>
        </w:rPr>
        <w:t xml:space="preserve">може бути використана </w:t>
      </w:r>
      <w:r w:rsidR="0081457C">
        <w:rPr>
          <w:sz w:val="20"/>
          <w:szCs w:val="20"/>
          <w:lang w:val="uk-UA"/>
        </w:rPr>
        <w:t>і в Україні</w:t>
      </w:r>
      <w:r>
        <w:rPr>
          <w:sz w:val="20"/>
          <w:szCs w:val="20"/>
          <w:lang w:val="uk-UA"/>
        </w:rPr>
        <w:t>. До  складу моделі входять такі показники</w:t>
      </w:r>
      <w:r>
        <w:rPr>
          <w:sz w:val="20"/>
          <w:szCs w:val="20"/>
          <w:lang w:val="en-US"/>
        </w:rPr>
        <w:t xml:space="preserve"> [</w:t>
      </w:r>
      <w:r w:rsidR="00192758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]</w:t>
      </w:r>
      <w:r>
        <w:rPr>
          <w:sz w:val="20"/>
          <w:szCs w:val="20"/>
          <w:lang w:val="uk-UA"/>
        </w:rPr>
        <w:t>:</w:t>
      </w:r>
    </w:p>
    <w:p w14:paraId="0307C141" w14:textId="77777777" w:rsidR="00CF111A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частка оборотних активів в їх загальній вартості; </w:t>
      </w:r>
    </w:p>
    <w:p w14:paraId="5B8D992D" w14:textId="77777777" w:rsidR="00CF111A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CF111A">
        <w:rPr>
          <w:sz w:val="20"/>
          <w:szCs w:val="20"/>
          <w:lang w:val="uk-UA"/>
        </w:rPr>
        <w:t>відношення нерозподіленого прибутку до суми активів</w:t>
      </w:r>
      <w:r>
        <w:rPr>
          <w:sz w:val="20"/>
          <w:szCs w:val="20"/>
          <w:lang w:val="uk-UA"/>
        </w:rPr>
        <w:t>;</w:t>
      </w:r>
    </w:p>
    <w:p w14:paraId="623A46E3" w14:textId="77777777" w:rsidR="0081457C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рентабельність активів, розрахована за прибутком до сплати податків та відсотків за кредитами</w:t>
      </w:r>
      <w:r w:rsidR="0081457C">
        <w:rPr>
          <w:sz w:val="20"/>
          <w:szCs w:val="20"/>
          <w:lang w:val="uk-UA"/>
        </w:rPr>
        <w:t>;</w:t>
      </w:r>
    </w:p>
    <w:p w14:paraId="70BE66C0" w14:textId="77777777" w:rsidR="0081457C" w:rsidRPr="00CF111A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коефіцієнт співвідношення власного капіталу </w:t>
      </w:r>
      <w:r>
        <w:rPr>
          <w:sz w:val="20"/>
          <w:szCs w:val="20"/>
          <w:lang w:val="uk-UA"/>
        </w:rPr>
        <w:t>до позикових коштів;</w:t>
      </w:r>
    </w:p>
    <w:p w14:paraId="5378D05B" w14:textId="77777777" w:rsidR="00CF111A" w:rsidRDefault="00CF111A" w:rsidP="00CF111A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коефіцієнт оборотності активів;</w:t>
      </w:r>
    </w:p>
    <w:p w14:paraId="5CDE0F98" w14:textId="77777777" w:rsidR="00CF111A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3) </w:t>
      </w:r>
      <w:r w:rsidRPr="00CF111A">
        <w:rPr>
          <w:sz w:val="20"/>
          <w:szCs w:val="20"/>
          <w:lang w:val="uk-UA"/>
        </w:rPr>
        <w:t xml:space="preserve"> </w:t>
      </w:r>
      <w:proofErr w:type="spellStart"/>
      <w:r w:rsidRPr="00CF111A">
        <w:rPr>
          <w:sz w:val="20"/>
          <w:szCs w:val="20"/>
          <w:lang w:val="uk-UA"/>
        </w:rPr>
        <w:t>чотирифакторн</w:t>
      </w:r>
      <w:r>
        <w:rPr>
          <w:sz w:val="20"/>
          <w:szCs w:val="20"/>
          <w:lang w:val="uk-UA"/>
        </w:rPr>
        <w:t>а</w:t>
      </w:r>
      <w:proofErr w:type="spellEnd"/>
      <w:r w:rsidRPr="00CF111A">
        <w:rPr>
          <w:sz w:val="20"/>
          <w:szCs w:val="20"/>
          <w:lang w:val="uk-UA"/>
        </w:rPr>
        <w:t xml:space="preserve"> модель оцінки фінансового стану</w:t>
      </w:r>
      <w:r>
        <w:rPr>
          <w:sz w:val="20"/>
          <w:szCs w:val="20"/>
          <w:lang w:val="uk-UA"/>
        </w:rPr>
        <w:t xml:space="preserve"> Р. Ліса</w:t>
      </w:r>
      <w:r w:rsidRPr="00CF111A">
        <w:rPr>
          <w:sz w:val="20"/>
          <w:szCs w:val="20"/>
        </w:rPr>
        <w:t xml:space="preserve"> [</w:t>
      </w:r>
      <w:r w:rsidR="00192758">
        <w:rPr>
          <w:sz w:val="20"/>
          <w:szCs w:val="20"/>
        </w:rPr>
        <w:t>1</w:t>
      </w:r>
      <w:r w:rsidRPr="00CF111A">
        <w:rPr>
          <w:sz w:val="20"/>
          <w:szCs w:val="20"/>
        </w:rPr>
        <w:t>]</w:t>
      </w:r>
      <w:r>
        <w:rPr>
          <w:sz w:val="20"/>
          <w:szCs w:val="20"/>
          <w:lang w:val="uk-UA"/>
        </w:rPr>
        <w:t xml:space="preserve">, яка містить такі фінансові показники: </w:t>
      </w:r>
    </w:p>
    <w:p w14:paraId="4E092092" w14:textId="77777777" w:rsidR="00CF111A" w:rsidRDefault="00CF111A" w:rsidP="00CF111A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частка оборотних активів в їх загальній вартості; </w:t>
      </w:r>
    </w:p>
    <w:p w14:paraId="4F335F86" w14:textId="77777777" w:rsidR="00CF111A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рентабельність активів, розрахована за валовим прибутком;</w:t>
      </w:r>
    </w:p>
    <w:p w14:paraId="00E47365" w14:textId="77777777" w:rsidR="00CF111A" w:rsidRDefault="00CF111A" w:rsidP="00CF111A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CF111A">
        <w:rPr>
          <w:sz w:val="20"/>
          <w:szCs w:val="20"/>
          <w:lang w:val="uk-UA"/>
        </w:rPr>
        <w:t>відношення нерозподіленого прибутку до суми активів</w:t>
      </w:r>
      <w:r>
        <w:rPr>
          <w:sz w:val="20"/>
          <w:szCs w:val="20"/>
          <w:lang w:val="uk-UA"/>
        </w:rPr>
        <w:t>;</w:t>
      </w:r>
    </w:p>
    <w:p w14:paraId="572BA9C1" w14:textId="77777777" w:rsidR="00CF111A" w:rsidRDefault="00CF111A" w:rsidP="00A2234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коефіцієнт співвідношення власного капіталу до позикових коштів;</w:t>
      </w:r>
    </w:p>
    <w:p w14:paraId="411C3691" w14:textId="77777777" w:rsidR="009E579B" w:rsidRDefault="00CF111A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4) </w:t>
      </w:r>
      <w:r w:rsidR="009E579B" w:rsidRPr="009E579B">
        <w:rPr>
          <w:sz w:val="20"/>
          <w:szCs w:val="20"/>
          <w:lang w:val="uk-UA"/>
        </w:rPr>
        <w:t>модел</w:t>
      </w:r>
      <w:r w:rsidR="009E579B">
        <w:rPr>
          <w:sz w:val="20"/>
          <w:szCs w:val="20"/>
          <w:lang w:val="uk-UA"/>
        </w:rPr>
        <w:t xml:space="preserve">ь </w:t>
      </w:r>
      <w:proofErr w:type="spellStart"/>
      <w:r w:rsidR="009E579B" w:rsidRPr="009E579B">
        <w:rPr>
          <w:sz w:val="20"/>
          <w:szCs w:val="20"/>
          <w:lang w:val="uk-UA"/>
        </w:rPr>
        <w:t>Тафлера</w:t>
      </w:r>
      <w:proofErr w:type="spellEnd"/>
      <w:r w:rsidR="009E579B" w:rsidRPr="009E579B">
        <w:rPr>
          <w:sz w:val="20"/>
          <w:szCs w:val="20"/>
          <w:lang w:val="uk-UA"/>
        </w:rPr>
        <w:t xml:space="preserve"> і </w:t>
      </w:r>
      <w:proofErr w:type="spellStart"/>
      <w:r w:rsidR="009E579B" w:rsidRPr="009E579B">
        <w:rPr>
          <w:sz w:val="20"/>
          <w:szCs w:val="20"/>
          <w:lang w:val="uk-UA"/>
        </w:rPr>
        <w:t>Тішоу</w:t>
      </w:r>
      <w:proofErr w:type="spellEnd"/>
      <w:r w:rsidR="009E579B" w:rsidRPr="009E579B">
        <w:rPr>
          <w:sz w:val="20"/>
          <w:szCs w:val="20"/>
          <w:lang w:val="uk-UA"/>
        </w:rPr>
        <w:t>, які в 1977 р. апробували підхід Е. Альтмана на британських підприємствах</w:t>
      </w:r>
      <w:r w:rsidR="009E579B">
        <w:rPr>
          <w:sz w:val="20"/>
          <w:szCs w:val="20"/>
          <w:lang w:val="uk-UA"/>
        </w:rPr>
        <w:t xml:space="preserve">, в результаті чого </w:t>
      </w:r>
      <w:r w:rsidR="009E579B" w:rsidRPr="009E579B">
        <w:rPr>
          <w:sz w:val="20"/>
          <w:szCs w:val="20"/>
          <w:lang w:val="uk-UA"/>
        </w:rPr>
        <w:t xml:space="preserve">побудували </w:t>
      </w:r>
      <w:proofErr w:type="spellStart"/>
      <w:r w:rsidR="009E579B" w:rsidRPr="009E579B">
        <w:rPr>
          <w:sz w:val="20"/>
          <w:szCs w:val="20"/>
          <w:lang w:val="uk-UA"/>
        </w:rPr>
        <w:t>чотирифакторну</w:t>
      </w:r>
      <w:proofErr w:type="spellEnd"/>
      <w:r w:rsidR="009E579B" w:rsidRPr="009E579B">
        <w:rPr>
          <w:sz w:val="20"/>
          <w:szCs w:val="20"/>
          <w:lang w:val="uk-UA"/>
        </w:rPr>
        <w:t xml:space="preserve"> прогнозну модель</w:t>
      </w:r>
      <w:r w:rsidR="00192758">
        <w:rPr>
          <w:sz w:val="20"/>
          <w:szCs w:val="20"/>
          <w:lang w:val="uk-UA"/>
        </w:rPr>
        <w:t xml:space="preserve"> </w:t>
      </w:r>
      <w:r w:rsidR="00192758" w:rsidRPr="00192758">
        <w:rPr>
          <w:sz w:val="20"/>
          <w:szCs w:val="20"/>
        </w:rPr>
        <w:t>[1]</w:t>
      </w:r>
      <w:r w:rsidR="009E579B" w:rsidRPr="009E579B">
        <w:rPr>
          <w:sz w:val="20"/>
          <w:szCs w:val="20"/>
          <w:lang w:val="uk-UA"/>
        </w:rPr>
        <w:t xml:space="preserve"> оцінки платоспроможності</w:t>
      </w:r>
      <w:r w:rsidR="009E579B">
        <w:rPr>
          <w:sz w:val="20"/>
          <w:szCs w:val="20"/>
          <w:lang w:val="uk-UA"/>
        </w:rPr>
        <w:t>, її склад</w:t>
      </w:r>
      <w:r w:rsidR="00806CB4">
        <w:rPr>
          <w:sz w:val="20"/>
          <w:szCs w:val="20"/>
          <w:lang w:val="uk-UA"/>
        </w:rPr>
        <w:t>:</w:t>
      </w:r>
    </w:p>
    <w:p w14:paraId="72663BBA" w14:textId="77777777" w:rsidR="00CF111A" w:rsidRDefault="009E579B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9E579B">
        <w:rPr>
          <w:sz w:val="20"/>
          <w:szCs w:val="20"/>
          <w:lang w:val="uk-UA"/>
        </w:rPr>
        <w:t>відношення операційного прибутку до короткострокових зобов’язань</w:t>
      </w:r>
      <w:r>
        <w:rPr>
          <w:sz w:val="20"/>
          <w:szCs w:val="20"/>
          <w:lang w:val="uk-UA"/>
        </w:rPr>
        <w:t>;</w:t>
      </w:r>
    </w:p>
    <w:p w14:paraId="570E53B8" w14:textId="77777777" w:rsidR="009E579B" w:rsidRDefault="0083787F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83787F">
        <w:rPr>
          <w:sz w:val="20"/>
          <w:szCs w:val="20"/>
          <w:lang w:val="uk-UA"/>
        </w:rPr>
        <w:t>відношення оборотних активів до загальної суми зобов’язань</w:t>
      </w:r>
      <w:r>
        <w:rPr>
          <w:sz w:val="20"/>
          <w:szCs w:val="20"/>
          <w:lang w:val="uk-UA"/>
        </w:rPr>
        <w:t>;</w:t>
      </w:r>
    </w:p>
    <w:p w14:paraId="5BAE8B24" w14:textId="77777777" w:rsidR="0083787F" w:rsidRDefault="0083787F" w:rsidP="0083787F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83787F">
        <w:rPr>
          <w:sz w:val="20"/>
          <w:szCs w:val="20"/>
          <w:lang w:val="uk-UA"/>
        </w:rPr>
        <w:t>відношення короткострокових зобов’язань до загальної вартості активів</w:t>
      </w:r>
      <w:r>
        <w:rPr>
          <w:sz w:val="20"/>
          <w:szCs w:val="20"/>
          <w:lang w:val="uk-UA"/>
        </w:rPr>
        <w:t>;</w:t>
      </w:r>
    </w:p>
    <w:p w14:paraId="521CC0FD" w14:textId="77777777" w:rsidR="0083787F" w:rsidRDefault="0083787F" w:rsidP="0083787F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коефіцієнт оборотності активів;</w:t>
      </w:r>
    </w:p>
    <w:p w14:paraId="34248CBE" w14:textId="77777777" w:rsidR="0083787F" w:rsidRDefault="00D533B9" w:rsidP="0083787F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5)</w:t>
      </w:r>
      <w:r>
        <w:rPr>
          <w:lang w:val="uk-UA"/>
        </w:rPr>
        <w:t> </w:t>
      </w:r>
      <w:r w:rsidRPr="00D533B9">
        <w:rPr>
          <w:sz w:val="20"/>
          <w:szCs w:val="20"/>
          <w:lang w:val="uk-UA"/>
        </w:rPr>
        <w:t xml:space="preserve">модель </w:t>
      </w:r>
      <w:r>
        <w:rPr>
          <w:sz w:val="20"/>
          <w:szCs w:val="20"/>
          <w:lang w:val="uk-UA"/>
        </w:rPr>
        <w:t>Г. </w:t>
      </w:r>
      <w:proofErr w:type="spellStart"/>
      <w:r w:rsidRPr="00D533B9">
        <w:rPr>
          <w:sz w:val="20"/>
          <w:szCs w:val="20"/>
          <w:lang w:val="uk-UA"/>
        </w:rPr>
        <w:t>Спрінгейта</w:t>
      </w:r>
      <w:proofErr w:type="spellEnd"/>
      <w:r>
        <w:rPr>
          <w:sz w:val="20"/>
          <w:szCs w:val="20"/>
          <w:lang w:val="uk-UA"/>
        </w:rPr>
        <w:t xml:space="preserve"> (Канада), в якій використовуються такі індикатори загрози банкрутства</w:t>
      </w:r>
      <w:r w:rsidR="00192758" w:rsidRPr="00192758">
        <w:rPr>
          <w:sz w:val="20"/>
          <w:szCs w:val="20"/>
        </w:rPr>
        <w:t xml:space="preserve"> [1]</w:t>
      </w:r>
      <w:r>
        <w:rPr>
          <w:sz w:val="20"/>
          <w:szCs w:val="20"/>
          <w:lang w:val="uk-UA"/>
        </w:rPr>
        <w:t>:</w:t>
      </w:r>
    </w:p>
    <w:p w14:paraId="79381EE6" w14:textId="77777777" w:rsidR="009E579B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частка оборотних активів в їх загальній вартості;</w:t>
      </w:r>
    </w:p>
    <w:p w14:paraId="79066180" w14:textId="77777777" w:rsidR="00D533B9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рентабельність активів, розрахована за прибутком до сплати податків та відсотків за кредитами;</w:t>
      </w:r>
    </w:p>
    <w:p w14:paraId="04D766C3" w14:textId="77777777" w:rsidR="00D533B9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відношення прибутку до оподаткування до короткострокових зобов’язань;</w:t>
      </w:r>
    </w:p>
    <w:p w14:paraId="568DF2AC" w14:textId="77777777" w:rsidR="00D533B9" w:rsidRDefault="00D533B9" w:rsidP="00D533B9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коефіцієнт оборотності активів;</w:t>
      </w:r>
    </w:p>
    <w:p w14:paraId="1EA3944B" w14:textId="77777777" w:rsidR="00D533B9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6) модель Ж. </w:t>
      </w:r>
      <w:proofErr w:type="spellStart"/>
      <w:r>
        <w:rPr>
          <w:sz w:val="20"/>
          <w:szCs w:val="20"/>
          <w:lang w:val="uk-UA"/>
        </w:rPr>
        <w:t>Лего</w:t>
      </w:r>
      <w:proofErr w:type="spellEnd"/>
      <w:r>
        <w:rPr>
          <w:sz w:val="20"/>
          <w:szCs w:val="20"/>
          <w:lang w:val="uk-UA"/>
        </w:rPr>
        <w:t xml:space="preserve"> (Канада)</w:t>
      </w:r>
      <w:r w:rsidRPr="00D533B9">
        <w:rPr>
          <w:sz w:val="20"/>
          <w:szCs w:val="20"/>
        </w:rPr>
        <w:t xml:space="preserve"> [</w:t>
      </w:r>
      <w:r w:rsidR="00192758" w:rsidRPr="00192758">
        <w:rPr>
          <w:sz w:val="20"/>
          <w:szCs w:val="20"/>
        </w:rPr>
        <w:t>1</w:t>
      </w:r>
      <w:r w:rsidRPr="00D533B9">
        <w:rPr>
          <w:sz w:val="20"/>
          <w:szCs w:val="20"/>
        </w:rPr>
        <w:t>]</w:t>
      </w:r>
      <w:r>
        <w:rPr>
          <w:sz w:val="20"/>
          <w:szCs w:val="20"/>
          <w:lang w:val="uk-UA"/>
        </w:rPr>
        <w:t>, яка містить три показники:</w:t>
      </w:r>
    </w:p>
    <w:p w14:paraId="047CB2A1" w14:textId="77777777" w:rsidR="00D533B9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частка формування активів за рахунок акціонерного капіталу;</w:t>
      </w:r>
    </w:p>
    <w:p w14:paraId="3EDD7280" w14:textId="77777777" w:rsidR="00D533B9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рентабельність активів, розрахована за прибутком до сплати податків та відсотків за кредитами;</w:t>
      </w:r>
    </w:p>
    <w:p w14:paraId="507E7230" w14:textId="77777777" w:rsidR="00D533B9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коефіцієнт оборотності активів.</w:t>
      </w:r>
    </w:p>
    <w:p w14:paraId="1DEF858A" w14:textId="77777777" w:rsidR="00D533B9" w:rsidRDefault="00D533B9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Серед вітчизняних розробок відомі та вже досить широко застосовуються такі </w:t>
      </w:r>
      <w:proofErr w:type="spellStart"/>
      <w:r>
        <w:rPr>
          <w:sz w:val="20"/>
          <w:szCs w:val="20"/>
          <w:lang w:val="uk-UA"/>
        </w:rPr>
        <w:t>дискримінантні</w:t>
      </w:r>
      <w:proofErr w:type="spellEnd"/>
      <w:r>
        <w:rPr>
          <w:sz w:val="20"/>
          <w:szCs w:val="20"/>
          <w:lang w:val="uk-UA"/>
        </w:rPr>
        <w:t xml:space="preserve"> моделі оцінки ймовірності банкрутства:</w:t>
      </w:r>
    </w:p>
    <w:p w14:paraId="08E2BA68" w14:textId="77777777" w:rsidR="007B7063" w:rsidRDefault="007B706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1) модель О.О. Терещенка </w:t>
      </w:r>
      <w:r w:rsidRPr="007B7063">
        <w:rPr>
          <w:sz w:val="20"/>
          <w:szCs w:val="20"/>
        </w:rPr>
        <w:t>[</w:t>
      </w:r>
      <w:r w:rsidR="00192758" w:rsidRPr="00192758">
        <w:rPr>
          <w:sz w:val="20"/>
          <w:szCs w:val="20"/>
        </w:rPr>
        <w:t>2</w:t>
      </w:r>
      <w:r w:rsidRPr="007B7063">
        <w:rPr>
          <w:sz w:val="20"/>
          <w:szCs w:val="20"/>
        </w:rPr>
        <w:t>]</w:t>
      </w:r>
      <w:r>
        <w:rPr>
          <w:sz w:val="20"/>
          <w:szCs w:val="20"/>
          <w:lang w:val="uk-UA"/>
        </w:rPr>
        <w:t>, що дозволяє провести діагностику ймовірності банкрутства та має наступний склад показників:</w:t>
      </w:r>
    </w:p>
    <w:p w14:paraId="7D15CEE4" w14:textId="77777777" w:rsidR="007B7063" w:rsidRDefault="007B706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7B7063">
        <w:rPr>
          <w:sz w:val="20"/>
          <w:szCs w:val="20"/>
          <w:lang w:val="uk-UA"/>
        </w:rPr>
        <w:lastRenderedPageBreak/>
        <w:t xml:space="preserve">відношення </w:t>
      </w:r>
      <w:r>
        <w:rPr>
          <w:sz w:val="20"/>
          <w:szCs w:val="20"/>
          <w:lang w:val="uk-UA"/>
        </w:rPr>
        <w:t xml:space="preserve">надходжень </w:t>
      </w:r>
      <w:r w:rsidRPr="007B7063">
        <w:rPr>
          <w:sz w:val="20"/>
          <w:szCs w:val="20"/>
          <w:lang w:val="uk-UA"/>
        </w:rPr>
        <w:t xml:space="preserve">грошових </w:t>
      </w:r>
      <w:r>
        <w:rPr>
          <w:sz w:val="20"/>
          <w:szCs w:val="20"/>
          <w:lang w:val="uk-UA"/>
        </w:rPr>
        <w:t xml:space="preserve">коштів (грошового потоку) </w:t>
      </w:r>
      <w:r w:rsidRPr="007B7063">
        <w:rPr>
          <w:sz w:val="20"/>
          <w:szCs w:val="20"/>
          <w:lang w:val="uk-UA"/>
        </w:rPr>
        <w:t>до зобов’язань</w:t>
      </w:r>
      <w:r w:rsidR="00E96333">
        <w:rPr>
          <w:sz w:val="20"/>
          <w:szCs w:val="20"/>
          <w:lang w:val="uk-UA"/>
        </w:rPr>
        <w:t>;</w:t>
      </w:r>
    </w:p>
    <w:p w14:paraId="48AEF9FD" w14:textId="77777777" w:rsidR="00E96333" w:rsidRDefault="00E9633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E96333">
        <w:rPr>
          <w:sz w:val="20"/>
          <w:szCs w:val="20"/>
          <w:lang w:val="uk-UA"/>
        </w:rPr>
        <w:t>відношення валюти балансу до зобов’язань</w:t>
      </w:r>
      <w:r>
        <w:rPr>
          <w:sz w:val="20"/>
          <w:szCs w:val="20"/>
          <w:lang w:val="uk-UA"/>
        </w:rPr>
        <w:t>;</w:t>
      </w:r>
    </w:p>
    <w:p w14:paraId="7BB92DCE" w14:textId="77777777" w:rsidR="00E96333" w:rsidRDefault="00E9633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рентабельність активів за чистим прибутком;</w:t>
      </w:r>
    </w:p>
    <w:p w14:paraId="0A1F424F" w14:textId="77777777" w:rsidR="00E96333" w:rsidRDefault="00E9633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рентабельність продаж за чистим прибутком;</w:t>
      </w:r>
    </w:p>
    <w:p w14:paraId="6C3F7796" w14:textId="77777777" w:rsidR="00E96333" w:rsidRDefault="00E9633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E96333">
        <w:rPr>
          <w:sz w:val="20"/>
          <w:szCs w:val="20"/>
          <w:lang w:val="uk-UA"/>
        </w:rPr>
        <w:t>відношення виробничих запасів до виручки</w:t>
      </w:r>
      <w:r>
        <w:rPr>
          <w:sz w:val="20"/>
          <w:szCs w:val="20"/>
          <w:lang w:val="uk-UA"/>
        </w:rPr>
        <w:t>;</w:t>
      </w:r>
    </w:p>
    <w:p w14:paraId="59DB99BF" w14:textId="77777777" w:rsidR="00E96333" w:rsidRDefault="00E9633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коефіцієнт оборотності</w:t>
      </w:r>
      <w:r w:rsidRPr="00E96333">
        <w:rPr>
          <w:sz w:val="20"/>
          <w:szCs w:val="20"/>
          <w:lang w:val="uk-UA"/>
        </w:rPr>
        <w:t xml:space="preserve"> основного капіталу</w:t>
      </w:r>
      <w:r>
        <w:rPr>
          <w:sz w:val="20"/>
          <w:szCs w:val="20"/>
          <w:lang w:val="uk-UA"/>
        </w:rPr>
        <w:t>;</w:t>
      </w:r>
    </w:p>
    <w:p w14:paraId="58A60FB9" w14:textId="77777777" w:rsidR="002F70DC" w:rsidRDefault="00E9633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2) </w:t>
      </w:r>
      <w:r w:rsidR="002F70DC">
        <w:rPr>
          <w:sz w:val="20"/>
          <w:szCs w:val="20"/>
          <w:lang w:val="uk-UA"/>
        </w:rPr>
        <w:t xml:space="preserve">модель А.В. Матвійчука </w:t>
      </w:r>
      <w:r w:rsidR="002F70DC" w:rsidRPr="002F70DC">
        <w:rPr>
          <w:sz w:val="20"/>
          <w:szCs w:val="20"/>
          <w:lang w:val="uk-UA"/>
        </w:rPr>
        <w:t>[</w:t>
      </w:r>
      <w:r w:rsidR="000074A1">
        <w:rPr>
          <w:sz w:val="20"/>
          <w:szCs w:val="20"/>
          <w:lang w:val="uk-UA"/>
        </w:rPr>
        <w:t>3</w:t>
      </w:r>
      <w:r w:rsidR="002F70DC" w:rsidRPr="002F70DC">
        <w:rPr>
          <w:sz w:val="20"/>
          <w:szCs w:val="20"/>
          <w:lang w:val="uk-UA"/>
        </w:rPr>
        <w:t>]</w:t>
      </w:r>
      <w:r w:rsidR="002F70DC">
        <w:rPr>
          <w:sz w:val="20"/>
          <w:szCs w:val="20"/>
          <w:lang w:val="uk-UA"/>
        </w:rPr>
        <w:t>, склад якої відрізн</w:t>
      </w:r>
      <w:r w:rsidR="00806CB4">
        <w:rPr>
          <w:sz w:val="20"/>
          <w:szCs w:val="20"/>
          <w:lang w:val="uk-UA"/>
        </w:rPr>
        <w:t>яється наступними індикаторами</w:t>
      </w:r>
      <w:r w:rsidR="002F70DC">
        <w:rPr>
          <w:sz w:val="20"/>
          <w:szCs w:val="20"/>
          <w:lang w:val="uk-UA"/>
        </w:rPr>
        <w:t>:</w:t>
      </w:r>
    </w:p>
    <w:p w14:paraId="75B61627" w14:textId="77777777" w:rsidR="002F70DC" w:rsidRDefault="002F70DC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2F70DC">
        <w:rPr>
          <w:sz w:val="20"/>
          <w:szCs w:val="20"/>
          <w:lang w:val="uk-UA"/>
        </w:rPr>
        <w:t>коефіцієнт мобільності активів</w:t>
      </w:r>
      <w:r>
        <w:rPr>
          <w:sz w:val="20"/>
          <w:szCs w:val="20"/>
          <w:lang w:val="uk-UA"/>
        </w:rPr>
        <w:t>;</w:t>
      </w:r>
    </w:p>
    <w:p w14:paraId="657CD039" w14:textId="77777777" w:rsidR="002F70DC" w:rsidRPr="002F70DC" w:rsidRDefault="002F70DC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2F70DC">
        <w:rPr>
          <w:sz w:val="20"/>
          <w:szCs w:val="20"/>
          <w:lang w:val="uk-UA"/>
        </w:rPr>
        <w:t>коефіцієнт оборотності кредиторської заборгованості;</w:t>
      </w:r>
    </w:p>
    <w:p w14:paraId="004D16DE" w14:textId="77777777" w:rsidR="002F70DC" w:rsidRPr="002F70DC" w:rsidRDefault="002F70DC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2F70DC">
        <w:rPr>
          <w:sz w:val="20"/>
          <w:szCs w:val="20"/>
          <w:lang w:val="uk-UA"/>
        </w:rPr>
        <w:t>коефіцієнт оборотності власного капіталу;</w:t>
      </w:r>
    </w:p>
    <w:p w14:paraId="2872F54D" w14:textId="77777777" w:rsidR="002F70DC" w:rsidRPr="002F70DC" w:rsidRDefault="002F70DC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2F70DC">
        <w:rPr>
          <w:sz w:val="20"/>
          <w:szCs w:val="20"/>
          <w:lang w:val="uk-UA"/>
        </w:rPr>
        <w:t>коефіцієнт окупності активів;</w:t>
      </w:r>
    </w:p>
    <w:p w14:paraId="5D395CB8" w14:textId="77777777" w:rsidR="002F70DC" w:rsidRPr="002F70DC" w:rsidRDefault="002F70DC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2F70DC">
        <w:rPr>
          <w:sz w:val="20"/>
          <w:szCs w:val="20"/>
          <w:lang w:val="uk-UA"/>
        </w:rPr>
        <w:t>коефіцієнт забезпеченості власними оборотними засобами;</w:t>
      </w:r>
    </w:p>
    <w:p w14:paraId="7CA6ED96" w14:textId="77777777" w:rsidR="002F70DC" w:rsidRPr="002F70DC" w:rsidRDefault="002F70DC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2F70DC">
        <w:rPr>
          <w:sz w:val="20"/>
          <w:szCs w:val="20"/>
          <w:lang w:val="uk-UA"/>
        </w:rPr>
        <w:t>коефіцієнт концентрації залученого капіталу;</w:t>
      </w:r>
    </w:p>
    <w:p w14:paraId="2AF57F2A" w14:textId="77777777" w:rsidR="002F70DC" w:rsidRDefault="002F70DC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2F70DC">
        <w:rPr>
          <w:sz w:val="20"/>
          <w:szCs w:val="20"/>
          <w:lang w:val="uk-UA"/>
        </w:rPr>
        <w:t>коефіцієнт по</w:t>
      </w:r>
      <w:r>
        <w:rPr>
          <w:sz w:val="20"/>
          <w:szCs w:val="20"/>
          <w:lang w:val="uk-UA"/>
        </w:rPr>
        <w:t>криття боргів власним капіталом;</w:t>
      </w:r>
    </w:p>
    <w:p w14:paraId="271C48D9" w14:textId="77777777" w:rsidR="00AD1F38" w:rsidRDefault="002F70DC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3) моделі, представлені у «</w:t>
      </w:r>
      <w:r w:rsidRPr="002F70DC">
        <w:rPr>
          <w:sz w:val="20"/>
          <w:szCs w:val="20"/>
          <w:lang w:val="uk-UA"/>
        </w:rPr>
        <w:t xml:space="preserve">Порядку проведення оцінки фінансового стану потенційного </w:t>
      </w:r>
      <w:proofErr w:type="spellStart"/>
      <w:r w:rsidRPr="002F70DC">
        <w:rPr>
          <w:sz w:val="20"/>
          <w:szCs w:val="20"/>
          <w:lang w:val="uk-UA"/>
        </w:rPr>
        <w:t>бенефіціара</w:t>
      </w:r>
      <w:proofErr w:type="spellEnd"/>
      <w:r w:rsidRPr="002F70DC">
        <w:rPr>
          <w:sz w:val="20"/>
          <w:szCs w:val="20"/>
          <w:lang w:val="uk-UA"/>
        </w:rPr>
        <w:t xml:space="preserve"> інвестиційного проекту</w:t>
      </w:r>
      <w:r>
        <w:rPr>
          <w:sz w:val="20"/>
          <w:szCs w:val="20"/>
          <w:lang w:val="uk-UA"/>
        </w:rPr>
        <w:t xml:space="preserve">» </w:t>
      </w:r>
      <w:r w:rsidRPr="00AD1F38">
        <w:rPr>
          <w:sz w:val="20"/>
          <w:szCs w:val="20"/>
          <w:lang w:val="uk-UA"/>
        </w:rPr>
        <w:t>[</w:t>
      </w:r>
      <w:r w:rsidR="000074A1">
        <w:rPr>
          <w:sz w:val="20"/>
          <w:szCs w:val="20"/>
          <w:lang w:val="uk-UA"/>
        </w:rPr>
        <w:t>4</w:t>
      </w:r>
      <w:r w:rsidRPr="00AD1F38">
        <w:rPr>
          <w:sz w:val="20"/>
          <w:szCs w:val="20"/>
          <w:lang w:val="uk-UA"/>
        </w:rPr>
        <w:t>]</w:t>
      </w:r>
      <w:r>
        <w:rPr>
          <w:sz w:val="20"/>
          <w:szCs w:val="20"/>
          <w:lang w:val="uk-UA"/>
        </w:rPr>
        <w:t>, що</w:t>
      </w:r>
      <w:r w:rsidR="00AD1F38">
        <w:rPr>
          <w:sz w:val="20"/>
          <w:szCs w:val="20"/>
          <w:lang w:val="uk-UA"/>
        </w:rPr>
        <w:t xml:space="preserve"> розроблені у декількох варіантах в залежності від галузі приналежності підприємства. В них використовуються такі показники:</w:t>
      </w:r>
    </w:p>
    <w:p w14:paraId="03237777" w14:textId="77777777" w:rsidR="00AD1F38" w:rsidRDefault="00AD1F38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покриття</w:t>
      </w:r>
      <w:r>
        <w:rPr>
          <w:sz w:val="20"/>
          <w:szCs w:val="20"/>
          <w:lang w:val="uk-UA"/>
        </w:rPr>
        <w:t xml:space="preserve"> та </w:t>
      </w:r>
      <w:r w:rsidRPr="00AD1F38">
        <w:rPr>
          <w:sz w:val="20"/>
          <w:szCs w:val="20"/>
          <w:lang w:val="uk-UA"/>
        </w:rPr>
        <w:t>проміжний коефіцієнт покритт</w:t>
      </w:r>
      <w:r>
        <w:rPr>
          <w:sz w:val="20"/>
          <w:szCs w:val="20"/>
          <w:lang w:val="uk-UA"/>
        </w:rPr>
        <w:t>я;</w:t>
      </w:r>
    </w:p>
    <w:p w14:paraId="02AAC06A" w14:textId="77777777" w:rsidR="00AD1F38" w:rsidRDefault="00AD1F38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фінансової незалежності</w:t>
      </w:r>
      <w:r>
        <w:rPr>
          <w:sz w:val="20"/>
          <w:szCs w:val="20"/>
          <w:lang w:val="uk-UA"/>
        </w:rPr>
        <w:t>;</w:t>
      </w:r>
    </w:p>
    <w:p w14:paraId="6BA44E1E" w14:textId="77777777" w:rsidR="00AD1F38" w:rsidRDefault="00AD1F38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покриття необоротних активів власним капіталом</w:t>
      </w:r>
      <w:r>
        <w:rPr>
          <w:sz w:val="20"/>
          <w:szCs w:val="20"/>
          <w:lang w:val="uk-UA"/>
        </w:rPr>
        <w:t>;</w:t>
      </w:r>
    </w:p>
    <w:p w14:paraId="1955BACD" w14:textId="77777777" w:rsidR="00E96333" w:rsidRPr="002F70DC" w:rsidRDefault="00AD1F38" w:rsidP="002F70DC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рентабельності власного капіталу</w:t>
      </w:r>
      <w:r>
        <w:rPr>
          <w:sz w:val="20"/>
          <w:szCs w:val="20"/>
          <w:lang w:val="uk-UA"/>
        </w:rPr>
        <w:t>;</w:t>
      </w:r>
      <w:r w:rsidR="002F70DC">
        <w:rPr>
          <w:sz w:val="20"/>
          <w:szCs w:val="20"/>
          <w:lang w:val="uk-UA"/>
        </w:rPr>
        <w:t xml:space="preserve"> </w:t>
      </w:r>
    </w:p>
    <w:p w14:paraId="08EBF7A8" w14:textId="77777777" w:rsidR="00E96333" w:rsidRDefault="00AD1F3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оборотності кредиторської заборгованості</w:t>
      </w:r>
      <w:r>
        <w:rPr>
          <w:sz w:val="20"/>
          <w:szCs w:val="20"/>
          <w:lang w:val="uk-UA"/>
        </w:rPr>
        <w:t>;</w:t>
      </w:r>
    </w:p>
    <w:p w14:paraId="5F88AFD0" w14:textId="77777777" w:rsidR="00AD1F38" w:rsidRDefault="00AD1F3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рентабельності продажів за фінансовими результатами від операційної діяльності</w:t>
      </w:r>
      <w:r>
        <w:rPr>
          <w:sz w:val="20"/>
          <w:szCs w:val="20"/>
          <w:lang w:val="uk-UA"/>
        </w:rPr>
        <w:t>;</w:t>
      </w:r>
    </w:p>
    <w:p w14:paraId="19CD98DB" w14:textId="77777777" w:rsidR="00AD1F38" w:rsidRDefault="00AD1F3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рентабельності операційної діяльності з фінансових результатів від звичайної діяльності до оподаткування фінансових витрат та нарахування амортизації</w:t>
      </w:r>
      <w:r>
        <w:rPr>
          <w:sz w:val="20"/>
          <w:szCs w:val="20"/>
          <w:lang w:val="uk-UA"/>
        </w:rPr>
        <w:t>;</w:t>
      </w:r>
    </w:p>
    <w:p w14:paraId="7F6DB84F" w14:textId="77777777" w:rsidR="00AD1F38" w:rsidRDefault="00AD1F3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рентабельності активів за чистим прибутком</w:t>
      </w:r>
      <w:r>
        <w:rPr>
          <w:sz w:val="20"/>
          <w:szCs w:val="20"/>
          <w:lang w:val="uk-UA"/>
        </w:rPr>
        <w:t>;</w:t>
      </w:r>
    </w:p>
    <w:p w14:paraId="2F44BC17" w14:textId="77777777" w:rsidR="00AD1F38" w:rsidRDefault="00AD1F3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оборотності оборотних активів</w:t>
      </w:r>
      <w:r>
        <w:rPr>
          <w:sz w:val="20"/>
          <w:szCs w:val="20"/>
          <w:lang w:val="uk-UA"/>
        </w:rPr>
        <w:t>;</w:t>
      </w:r>
    </w:p>
    <w:p w14:paraId="7AF08EE6" w14:textId="77777777" w:rsidR="009630C8" w:rsidRDefault="00AD1F3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AD1F38">
        <w:rPr>
          <w:sz w:val="20"/>
          <w:szCs w:val="20"/>
          <w:lang w:val="uk-UA"/>
        </w:rPr>
        <w:t>коефіцієнт оборотності позиченого капіталу за фінансовими результатами до оподаткування</w:t>
      </w:r>
      <w:r w:rsidR="009630C8">
        <w:rPr>
          <w:sz w:val="20"/>
          <w:szCs w:val="20"/>
          <w:lang w:val="uk-UA"/>
        </w:rPr>
        <w:t>;</w:t>
      </w:r>
    </w:p>
    <w:p w14:paraId="79A717DE" w14:textId="77777777" w:rsidR="00AD1F38" w:rsidRDefault="00620783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4) моделі розрахунку інтегрального показника фінансового стану підприємств, що надають можливість оцінити ймовірність його дефолту за Положенням </w:t>
      </w:r>
      <w:r w:rsidRPr="00620783">
        <w:rPr>
          <w:sz w:val="20"/>
          <w:szCs w:val="20"/>
        </w:rPr>
        <w:t>[5]</w:t>
      </w:r>
      <w:r w:rsidR="00AD1F38">
        <w:rPr>
          <w:sz w:val="20"/>
          <w:szCs w:val="20"/>
          <w:lang w:val="uk-UA"/>
        </w:rPr>
        <w:t>.</w:t>
      </w:r>
      <w:r>
        <w:rPr>
          <w:sz w:val="20"/>
          <w:szCs w:val="20"/>
          <w:lang w:val="uk-UA"/>
        </w:rPr>
        <w:t xml:space="preserve"> Також  мають галузеву спрямованість та перелік узагальнюючих коефіцієнтів, до якого входять: </w:t>
      </w:r>
    </w:p>
    <w:p w14:paraId="1A4BABD8" w14:textId="77777777" w:rsidR="00620783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ч</w:t>
      </w:r>
      <w:r w:rsidRPr="006948D6">
        <w:rPr>
          <w:sz w:val="20"/>
          <w:szCs w:val="20"/>
          <w:lang w:val="uk-UA"/>
        </w:rPr>
        <w:t xml:space="preserve">астка </w:t>
      </w:r>
      <w:r>
        <w:rPr>
          <w:sz w:val="20"/>
          <w:szCs w:val="20"/>
          <w:lang w:val="uk-UA"/>
        </w:rPr>
        <w:t xml:space="preserve">власного </w:t>
      </w:r>
      <w:r w:rsidRPr="006948D6">
        <w:rPr>
          <w:sz w:val="20"/>
          <w:szCs w:val="20"/>
          <w:lang w:val="uk-UA"/>
        </w:rPr>
        <w:t>капіталу в балансі підприємства</w:t>
      </w:r>
      <w:r>
        <w:rPr>
          <w:sz w:val="20"/>
          <w:szCs w:val="20"/>
          <w:lang w:val="uk-UA"/>
        </w:rPr>
        <w:t>;</w:t>
      </w:r>
    </w:p>
    <w:p w14:paraId="640C2B40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6948D6">
        <w:rPr>
          <w:sz w:val="20"/>
          <w:szCs w:val="20"/>
          <w:lang w:val="uk-UA"/>
        </w:rPr>
        <w:t>загальн</w:t>
      </w:r>
      <w:r>
        <w:rPr>
          <w:sz w:val="20"/>
          <w:szCs w:val="20"/>
          <w:lang w:val="uk-UA"/>
        </w:rPr>
        <w:t>а</w:t>
      </w:r>
      <w:r w:rsidRPr="006948D6">
        <w:rPr>
          <w:sz w:val="20"/>
          <w:szCs w:val="20"/>
          <w:lang w:val="uk-UA"/>
        </w:rPr>
        <w:t xml:space="preserve"> ліквідності</w:t>
      </w:r>
      <w:r>
        <w:rPr>
          <w:sz w:val="20"/>
          <w:szCs w:val="20"/>
          <w:lang w:val="uk-UA"/>
        </w:rPr>
        <w:t>;</w:t>
      </w:r>
    </w:p>
    <w:p w14:paraId="41E40F6A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6948D6">
        <w:rPr>
          <w:sz w:val="20"/>
          <w:szCs w:val="20"/>
          <w:lang w:val="uk-UA"/>
        </w:rPr>
        <w:t>показник покриття боргу прибутком до оподаткування</w:t>
      </w:r>
      <w:r>
        <w:rPr>
          <w:sz w:val="20"/>
          <w:szCs w:val="20"/>
          <w:lang w:val="uk-UA"/>
        </w:rPr>
        <w:t>;</w:t>
      </w:r>
    </w:p>
    <w:p w14:paraId="65303530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6948D6">
        <w:rPr>
          <w:sz w:val="20"/>
          <w:szCs w:val="20"/>
          <w:lang w:val="uk-UA"/>
        </w:rPr>
        <w:t>операційн</w:t>
      </w:r>
      <w:r>
        <w:rPr>
          <w:sz w:val="20"/>
          <w:szCs w:val="20"/>
          <w:lang w:val="uk-UA"/>
        </w:rPr>
        <w:t>а</w:t>
      </w:r>
      <w:r w:rsidRPr="006948D6">
        <w:rPr>
          <w:sz w:val="20"/>
          <w:szCs w:val="20"/>
          <w:lang w:val="uk-UA"/>
        </w:rPr>
        <w:t xml:space="preserve"> рентабельн</w:t>
      </w:r>
      <w:r>
        <w:rPr>
          <w:sz w:val="20"/>
          <w:szCs w:val="20"/>
          <w:lang w:val="uk-UA"/>
        </w:rPr>
        <w:t>і</w:t>
      </w:r>
      <w:r w:rsidRPr="006948D6">
        <w:rPr>
          <w:sz w:val="20"/>
          <w:szCs w:val="20"/>
          <w:lang w:val="uk-UA"/>
        </w:rPr>
        <w:t>ст</w:t>
      </w:r>
      <w:r>
        <w:rPr>
          <w:sz w:val="20"/>
          <w:szCs w:val="20"/>
          <w:lang w:val="uk-UA"/>
        </w:rPr>
        <w:t>ь</w:t>
      </w:r>
      <w:r w:rsidRPr="006948D6">
        <w:rPr>
          <w:sz w:val="20"/>
          <w:szCs w:val="20"/>
          <w:lang w:val="uk-UA"/>
        </w:rPr>
        <w:t xml:space="preserve"> активів</w:t>
      </w:r>
      <w:r>
        <w:rPr>
          <w:sz w:val="20"/>
          <w:szCs w:val="20"/>
          <w:lang w:val="uk-UA"/>
        </w:rPr>
        <w:t>;</w:t>
      </w:r>
    </w:p>
    <w:p w14:paraId="057570EC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коефіцієнт </w:t>
      </w:r>
      <w:r w:rsidRPr="006948D6">
        <w:rPr>
          <w:sz w:val="20"/>
          <w:szCs w:val="20"/>
          <w:lang w:val="uk-UA"/>
        </w:rPr>
        <w:t>оборотності запасів</w:t>
      </w:r>
      <w:r>
        <w:rPr>
          <w:sz w:val="20"/>
          <w:szCs w:val="20"/>
          <w:lang w:val="uk-UA"/>
        </w:rPr>
        <w:t>;</w:t>
      </w:r>
    </w:p>
    <w:p w14:paraId="0579B23A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</w:t>
      </w:r>
      <w:r w:rsidRPr="006948D6">
        <w:rPr>
          <w:sz w:val="20"/>
          <w:szCs w:val="20"/>
          <w:lang w:val="uk-UA"/>
        </w:rPr>
        <w:t>оказник покриття боргу валовим прибутком</w:t>
      </w:r>
      <w:r>
        <w:rPr>
          <w:sz w:val="20"/>
          <w:szCs w:val="20"/>
          <w:lang w:val="uk-UA"/>
        </w:rPr>
        <w:t>;</w:t>
      </w:r>
    </w:p>
    <w:p w14:paraId="28B72028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</w:t>
      </w:r>
      <w:r w:rsidRPr="006948D6">
        <w:rPr>
          <w:sz w:val="20"/>
          <w:szCs w:val="20"/>
          <w:lang w:val="uk-UA"/>
        </w:rPr>
        <w:t>оказник покриття чистих фінансових витрат операційним прибутком</w:t>
      </w:r>
      <w:r>
        <w:rPr>
          <w:sz w:val="20"/>
          <w:szCs w:val="20"/>
          <w:lang w:val="uk-UA"/>
        </w:rPr>
        <w:t>;</w:t>
      </w:r>
    </w:p>
    <w:p w14:paraId="14596425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коефіцієнти </w:t>
      </w:r>
      <w:r w:rsidRPr="006948D6">
        <w:rPr>
          <w:sz w:val="20"/>
          <w:szCs w:val="20"/>
          <w:lang w:val="uk-UA"/>
        </w:rPr>
        <w:t xml:space="preserve">оборотності </w:t>
      </w:r>
      <w:r>
        <w:rPr>
          <w:sz w:val="20"/>
          <w:szCs w:val="20"/>
          <w:lang w:val="uk-UA"/>
        </w:rPr>
        <w:t xml:space="preserve">дебіторської та </w:t>
      </w:r>
      <w:r w:rsidRPr="006948D6">
        <w:rPr>
          <w:sz w:val="20"/>
          <w:szCs w:val="20"/>
          <w:lang w:val="uk-UA"/>
        </w:rPr>
        <w:t>кредиторської заборгованості</w:t>
      </w:r>
      <w:r>
        <w:rPr>
          <w:sz w:val="20"/>
          <w:szCs w:val="20"/>
          <w:lang w:val="uk-UA"/>
        </w:rPr>
        <w:t>;</w:t>
      </w:r>
    </w:p>
    <w:p w14:paraId="4463891A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коефіцієнт </w:t>
      </w:r>
      <w:r w:rsidRPr="006948D6">
        <w:rPr>
          <w:sz w:val="20"/>
          <w:szCs w:val="20"/>
          <w:lang w:val="uk-UA"/>
        </w:rPr>
        <w:t xml:space="preserve">маневреності </w:t>
      </w:r>
      <w:r>
        <w:rPr>
          <w:sz w:val="20"/>
          <w:szCs w:val="20"/>
          <w:lang w:val="uk-UA"/>
        </w:rPr>
        <w:t xml:space="preserve">та оборотності </w:t>
      </w:r>
      <w:r w:rsidRPr="006948D6">
        <w:rPr>
          <w:sz w:val="20"/>
          <w:szCs w:val="20"/>
          <w:lang w:val="uk-UA"/>
        </w:rPr>
        <w:t>робочого капіталу</w:t>
      </w:r>
      <w:r>
        <w:rPr>
          <w:sz w:val="20"/>
          <w:szCs w:val="20"/>
          <w:lang w:val="uk-UA"/>
        </w:rPr>
        <w:t>;</w:t>
      </w:r>
    </w:p>
    <w:p w14:paraId="398F83FC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6948D6">
        <w:rPr>
          <w:sz w:val="20"/>
          <w:szCs w:val="20"/>
          <w:lang w:val="uk-UA"/>
        </w:rPr>
        <w:t>показники покриття боргу чистим доходом</w:t>
      </w:r>
      <w:r>
        <w:rPr>
          <w:sz w:val="20"/>
          <w:szCs w:val="20"/>
          <w:lang w:val="uk-UA"/>
        </w:rPr>
        <w:t xml:space="preserve"> та </w:t>
      </w:r>
      <w:r w:rsidRPr="006948D6">
        <w:rPr>
          <w:sz w:val="20"/>
          <w:szCs w:val="20"/>
          <w:lang w:val="uk-UA"/>
        </w:rPr>
        <w:t>прибутком до амортизації та оподаткування</w:t>
      </w:r>
      <w:r>
        <w:rPr>
          <w:sz w:val="20"/>
          <w:szCs w:val="20"/>
          <w:lang w:val="uk-UA"/>
        </w:rPr>
        <w:t>;</w:t>
      </w:r>
    </w:p>
    <w:p w14:paraId="51C736B5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6948D6">
        <w:rPr>
          <w:sz w:val="20"/>
          <w:szCs w:val="20"/>
          <w:lang w:val="uk-UA"/>
        </w:rPr>
        <w:t>рентабельн</w:t>
      </w:r>
      <w:r>
        <w:rPr>
          <w:sz w:val="20"/>
          <w:szCs w:val="20"/>
          <w:lang w:val="uk-UA"/>
        </w:rPr>
        <w:t>і</w:t>
      </w:r>
      <w:r w:rsidRPr="006948D6">
        <w:rPr>
          <w:sz w:val="20"/>
          <w:szCs w:val="20"/>
          <w:lang w:val="uk-UA"/>
        </w:rPr>
        <w:t>ст</w:t>
      </w:r>
      <w:r>
        <w:rPr>
          <w:sz w:val="20"/>
          <w:szCs w:val="20"/>
          <w:lang w:val="uk-UA"/>
        </w:rPr>
        <w:t xml:space="preserve">ь </w:t>
      </w:r>
      <w:r w:rsidRPr="006948D6">
        <w:rPr>
          <w:sz w:val="20"/>
          <w:szCs w:val="20"/>
          <w:lang w:val="uk-UA"/>
        </w:rPr>
        <w:t>активів до оподаткування</w:t>
      </w:r>
      <w:r>
        <w:rPr>
          <w:sz w:val="20"/>
          <w:szCs w:val="20"/>
          <w:lang w:val="uk-UA"/>
        </w:rPr>
        <w:t>;</w:t>
      </w:r>
    </w:p>
    <w:p w14:paraId="628AA7A0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6948D6">
        <w:rPr>
          <w:sz w:val="20"/>
          <w:szCs w:val="20"/>
          <w:lang w:val="uk-UA"/>
        </w:rPr>
        <w:t>частк</w:t>
      </w:r>
      <w:r>
        <w:rPr>
          <w:sz w:val="20"/>
          <w:szCs w:val="20"/>
          <w:lang w:val="uk-UA"/>
        </w:rPr>
        <w:t>а</w:t>
      </w:r>
      <w:r w:rsidRPr="006948D6">
        <w:rPr>
          <w:sz w:val="20"/>
          <w:szCs w:val="20"/>
          <w:lang w:val="uk-UA"/>
        </w:rPr>
        <w:t xml:space="preserve"> неопераційних елементів балансу</w:t>
      </w:r>
      <w:r>
        <w:rPr>
          <w:sz w:val="20"/>
          <w:szCs w:val="20"/>
          <w:lang w:val="uk-UA"/>
        </w:rPr>
        <w:t>;</w:t>
      </w:r>
    </w:p>
    <w:p w14:paraId="7C4D9836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 w:rsidRPr="006948D6">
        <w:rPr>
          <w:sz w:val="20"/>
          <w:szCs w:val="20"/>
          <w:lang w:val="uk-UA"/>
        </w:rPr>
        <w:t>показник покриття фінансових витрат операційним прибутком</w:t>
      </w:r>
      <w:r>
        <w:rPr>
          <w:sz w:val="20"/>
          <w:szCs w:val="20"/>
          <w:lang w:val="uk-UA"/>
        </w:rPr>
        <w:t xml:space="preserve"> та </w:t>
      </w:r>
      <w:r w:rsidRPr="006948D6">
        <w:rPr>
          <w:sz w:val="20"/>
          <w:szCs w:val="20"/>
          <w:lang w:val="uk-UA"/>
        </w:rPr>
        <w:t xml:space="preserve">прибутком до оподаткування </w:t>
      </w:r>
      <w:r>
        <w:rPr>
          <w:sz w:val="20"/>
          <w:szCs w:val="20"/>
          <w:lang w:val="uk-UA"/>
        </w:rPr>
        <w:t>і</w:t>
      </w:r>
      <w:r w:rsidRPr="006948D6">
        <w:rPr>
          <w:sz w:val="20"/>
          <w:szCs w:val="20"/>
          <w:lang w:val="uk-UA"/>
        </w:rPr>
        <w:t xml:space="preserve"> амортизації</w:t>
      </w:r>
      <w:r>
        <w:rPr>
          <w:sz w:val="20"/>
          <w:szCs w:val="20"/>
          <w:lang w:val="uk-UA"/>
        </w:rPr>
        <w:t>;</w:t>
      </w:r>
    </w:p>
    <w:p w14:paraId="47D54FD2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коефіцієнт </w:t>
      </w:r>
      <w:r w:rsidRPr="006948D6">
        <w:rPr>
          <w:sz w:val="20"/>
          <w:szCs w:val="20"/>
          <w:lang w:val="uk-UA"/>
        </w:rPr>
        <w:t>оборотності поточних активів</w:t>
      </w:r>
      <w:r>
        <w:rPr>
          <w:sz w:val="20"/>
          <w:szCs w:val="20"/>
          <w:lang w:val="uk-UA"/>
        </w:rPr>
        <w:t>;</w:t>
      </w:r>
    </w:p>
    <w:p w14:paraId="5D63FD09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коефіцієнт рентабельності до оподаткування та коефіцієнт валової рентабельності;</w:t>
      </w:r>
    </w:p>
    <w:p w14:paraId="5FEF22A0" w14:textId="77777777" w:rsidR="006948D6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частка заборгованості в активах підприємства. </w:t>
      </w:r>
    </w:p>
    <w:p w14:paraId="74104497" w14:textId="77777777" w:rsidR="00F36978" w:rsidRDefault="00806CB4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Отже, с</w:t>
      </w:r>
      <w:r w:rsidR="00F36978">
        <w:rPr>
          <w:sz w:val="20"/>
          <w:szCs w:val="20"/>
          <w:lang w:val="uk-UA"/>
        </w:rPr>
        <w:t>півставлення коефіцієнтного складу показників, що використовуються в зарубіжних та вітчизняних моделях оцінки ймовірності банкрутства, свідчить таке:</w:t>
      </w:r>
    </w:p>
    <w:p w14:paraId="2F244759" w14:textId="77777777" w:rsidR="00F36978" w:rsidRDefault="00F3697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1) закордонні моделі мають, здебільшого, універсальну спрямованість та не орієнтуються на особливості функціонування підприємств окремих галузей економіки. Відповідно</w:t>
      </w:r>
      <w:r w:rsidR="00806CB4">
        <w:rPr>
          <w:sz w:val="20"/>
          <w:szCs w:val="20"/>
          <w:lang w:val="uk-UA"/>
        </w:rPr>
        <w:t>, в них</w:t>
      </w:r>
      <w:r>
        <w:rPr>
          <w:sz w:val="20"/>
          <w:szCs w:val="20"/>
          <w:lang w:val="uk-UA"/>
        </w:rPr>
        <w:t xml:space="preserve"> використовується досить обмежена кількість фінансових показників (максимум п’ять), що переважно характеризують структуру капіталу та здатність підприємства генерувати прибуток;</w:t>
      </w:r>
    </w:p>
    <w:p w14:paraId="1DD1E9CA" w14:textId="77777777" w:rsidR="00FB6E22" w:rsidRDefault="00F36978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2) вітчизняні розробки відрізня</w:t>
      </w:r>
      <w:r w:rsidR="00806CB4">
        <w:rPr>
          <w:sz w:val="20"/>
          <w:szCs w:val="20"/>
          <w:lang w:val="uk-UA"/>
        </w:rPr>
        <w:t>ю</w:t>
      </w:r>
      <w:r>
        <w:rPr>
          <w:sz w:val="20"/>
          <w:szCs w:val="20"/>
          <w:lang w:val="uk-UA"/>
        </w:rPr>
        <w:t xml:space="preserve">ться, в першу чергу, більшим переліком коефіцієнтів та більш широким охопленням різних аспектів фінансового стану підприємства. Крім того, </w:t>
      </w:r>
      <w:r w:rsidR="00806CB4">
        <w:rPr>
          <w:sz w:val="20"/>
          <w:szCs w:val="20"/>
          <w:lang w:val="uk-UA"/>
        </w:rPr>
        <w:t xml:space="preserve">переважна </w:t>
      </w:r>
      <w:r w:rsidR="00FB6E22">
        <w:rPr>
          <w:sz w:val="20"/>
          <w:szCs w:val="20"/>
          <w:lang w:val="uk-UA"/>
        </w:rPr>
        <w:t xml:space="preserve">частина </w:t>
      </w:r>
      <w:r>
        <w:rPr>
          <w:sz w:val="20"/>
          <w:szCs w:val="20"/>
          <w:lang w:val="uk-UA"/>
        </w:rPr>
        <w:t>на</w:t>
      </w:r>
      <w:r w:rsidR="00806CB4">
        <w:rPr>
          <w:sz w:val="20"/>
          <w:szCs w:val="20"/>
          <w:lang w:val="uk-UA"/>
        </w:rPr>
        <w:t>веде</w:t>
      </w:r>
      <w:r>
        <w:rPr>
          <w:sz w:val="20"/>
          <w:szCs w:val="20"/>
          <w:lang w:val="uk-UA"/>
        </w:rPr>
        <w:t>н</w:t>
      </w:r>
      <w:r w:rsidR="00FB6E22">
        <w:rPr>
          <w:sz w:val="20"/>
          <w:szCs w:val="20"/>
          <w:lang w:val="uk-UA"/>
        </w:rPr>
        <w:t>их</w:t>
      </w:r>
      <w:r>
        <w:rPr>
          <w:sz w:val="20"/>
          <w:szCs w:val="20"/>
          <w:lang w:val="uk-UA"/>
        </w:rPr>
        <w:t xml:space="preserve"> методик</w:t>
      </w:r>
      <w:r w:rsidR="00FB6E22">
        <w:rPr>
          <w:sz w:val="20"/>
          <w:szCs w:val="20"/>
          <w:lang w:val="uk-UA"/>
        </w:rPr>
        <w:t xml:space="preserve"> дозволяє</w:t>
      </w:r>
      <w:r>
        <w:rPr>
          <w:sz w:val="20"/>
          <w:szCs w:val="20"/>
          <w:lang w:val="uk-UA"/>
        </w:rPr>
        <w:t xml:space="preserve"> обрати окрему модель відповідно до галузевої спрямованості та розміру підприємства</w:t>
      </w:r>
      <w:r w:rsidR="00FB6E22">
        <w:rPr>
          <w:sz w:val="20"/>
          <w:szCs w:val="20"/>
          <w:lang w:val="uk-UA"/>
        </w:rPr>
        <w:t xml:space="preserve">. </w:t>
      </w:r>
    </w:p>
    <w:p w14:paraId="1902B6AA" w14:textId="77777777" w:rsidR="0092542B" w:rsidRDefault="00FB6E22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Таким чином, можна зробити висновок про доцільність використання саме вітчизняних моделей </w:t>
      </w:r>
      <w:r w:rsidR="00806CB4">
        <w:rPr>
          <w:sz w:val="20"/>
          <w:szCs w:val="20"/>
          <w:lang w:val="uk-UA"/>
        </w:rPr>
        <w:t xml:space="preserve">для діагностики наявності та глибини кризових явищ в діяльності українських </w:t>
      </w:r>
      <w:r>
        <w:rPr>
          <w:sz w:val="20"/>
          <w:szCs w:val="20"/>
          <w:lang w:val="uk-UA"/>
        </w:rPr>
        <w:t>підприємств.</w:t>
      </w:r>
      <w:r w:rsidR="00F36978">
        <w:rPr>
          <w:sz w:val="20"/>
          <w:szCs w:val="20"/>
          <w:lang w:val="uk-UA"/>
        </w:rPr>
        <w:t xml:space="preserve">   </w:t>
      </w:r>
    </w:p>
    <w:p w14:paraId="182647CA" w14:textId="77777777" w:rsidR="006948D6" w:rsidRPr="00620783" w:rsidRDefault="006948D6" w:rsidP="009E579B">
      <w:pPr>
        <w:widowControl w:val="0"/>
        <w:ind w:firstLine="425"/>
        <w:jc w:val="both"/>
        <w:rPr>
          <w:sz w:val="20"/>
          <w:szCs w:val="20"/>
          <w:lang w:val="uk-UA"/>
        </w:rPr>
      </w:pPr>
    </w:p>
    <w:p w14:paraId="0F9CD46C" w14:textId="77777777" w:rsidR="00DB1440" w:rsidRPr="00EC7890" w:rsidRDefault="00FA00A5" w:rsidP="00A2234B">
      <w:pPr>
        <w:pStyle w:val="Default"/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Список літератури</w:t>
      </w:r>
    </w:p>
    <w:p w14:paraId="0E8DE404" w14:textId="77777777" w:rsidR="00EC7890" w:rsidRPr="004A2494" w:rsidRDefault="00EC7890" w:rsidP="00A2234B">
      <w:pPr>
        <w:pStyle w:val="Default"/>
        <w:widowControl w:val="0"/>
        <w:ind w:firstLine="709"/>
        <w:jc w:val="both"/>
        <w:rPr>
          <w:bCs/>
          <w:sz w:val="12"/>
          <w:szCs w:val="12"/>
        </w:rPr>
      </w:pPr>
    </w:p>
    <w:p w14:paraId="74712A71" w14:textId="77777777" w:rsidR="000B420D" w:rsidRPr="009630C8" w:rsidRDefault="001B1019" w:rsidP="00A2234B">
      <w:pPr>
        <w:pStyle w:val="Default"/>
        <w:widowControl w:val="0"/>
        <w:tabs>
          <w:tab w:val="left" w:pos="142"/>
          <w:tab w:val="left" w:pos="993"/>
          <w:tab w:val="left" w:pos="1134"/>
        </w:tabs>
        <w:ind w:firstLine="425"/>
        <w:jc w:val="both"/>
        <w:rPr>
          <w:color w:val="000000" w:themeColor="text1"/>
          <w:sz w:val="18"/>
          <w:szCs w:val="18"/>
        </w:rPr>
      </w:pPr>
      <w:bookmarkStart w:id="1" w:name="_Ref498607268"/>
      <w:bookmarkStart w:id="2" w:name="_Ref501010461"/>
      <w:r w:rsidRPr="009630C8">
        <w:rPr>
          <w:color w:val="000000" w:themeColor="text1"/>
          <w:sz w:val="18"/>
          <w:szCs w:val="18"/>
        </w:rPr>
        <w:t>1</w:t>
      </w:r>
      <w:bookmarkEnd w:id="1"/>
      <w:bookmarkEnd w:id="2"/>
      <w:r w:rsidR="00713D81" w:rsidRPr="009630C8">
        <w:rPr>
          <w:color w:val="000000" w:themeColor="text1"/>
          <w:sz w:val="18"/>
          <w:szCs w:val="18"/>
          <w:lang w:val="ru-RU"/>
        </w:rPr>
        <w:t>.</w:t>
      </w:r>
      <w:r w:rsidR="008D3648" w:rsidRPr="009630C8">
        <w:rPr>
          <w:sz w:val="18"/>
          <w:szCs w:val="18"/>
        </w:rPr>
        <w:t xml:space="preserve"> </w:t>
      </w:r>
      <w:bookmarkStart w:id="3" w:name="_Ref479844616"/>
      <w:r w:rsidR="00192758" w:rsidRPr="009630C8">
        <w:rPr>
          <w:sz w:val="18"/>
          <w:szCs w:val="18"/>
        </w:rPr>
        <w:t xml:space="preserve">И. И. </w:t>
      </w:r>
      <w:proofErr w:type="spellStart"/>
      <w:r w:rsidR="00192758" w:rsidRPr="009630C8">
        <w:rPr>
          <w:sz w:val="18"/>
          <w:szCs w:val="18"/>
        </w:rPr>
        <w:t>Мазурова</w:t>
      </w:r>
      <w:proofErr w:type="spellEnd"/>
      <w:r w:rsidR="00192758" w:rsidRPr="009630C8">
        <w:rPr>
          <w:sz w:val="18"/>
          <w:szCs w:val="18"/>
        </w:rPr>
        <w:t xml:space="preserve">, Н. П. </w:t>
      </w:r>
      <w:proofErr w:type="spellStart"/>
      <w:r w:rsidR="00192758" w:rsidRPr="009630C8">
        <w:rPr>
          <w:sz w:val="18"/>
          <w:szCs w:val="18"/>
        </w:rPr>
        <w:t>Белозерова</w:t>
      </w:r>
      <w:proofErr w:type="spellEnd"/>
      <w:r w:rsidR="00192758" w:rsidRPr="009630C8">
        <w:rPr>
          <w:sz w:val="18"/>
          <w:szCs w:val="18"/>
        </w:rPr>
        <w:t xml:space="preserve">, Т. М. Леонова, М. М. </w:t>
      </w:r>
      <w:proofErr w:type="spellStart"/>
      <w:r w:rsidR="00192758" w:rsidRPr="009630C8">
        <w:rPr>
          <w:sz w:val="18"/>
          <w:szCs w:val="18"/>
        </w:rPr>
        <w:t>Подшивалова</w:t>
      </w:r>
      <w:proofErr w:type="spellEnd"/>
      <w:r w:rsidR="00CD034F" w:rsidRPr="009630C8">
        <w:rPr>
          <w:color w:val="000000" w:themeColor="text1"/>
          <w:sz w:val="18"/>
          <w:szCs w:val="18"/>
        </w:rPr>
        <w:t>,</w:t>
      </w:r>
      <w:r w:rsidR="000B420D" w:rsidRPr="009630C8">
        <w:rPr>
          <w:color w:val="000000" w:themeColor="text1"/>
          <w:sz w:val="18"/>
          <w:szCs w:val="18"/>
        </w:rPr>
        <w:t xml:space="preserve"> </w:t>
      </w:r>
      <w:proofErr w:type="spellStart"/>
      <w:r w:rsidR="00192758" w:rsidRPr="009630C8">
        <w:rPr>
          <w:i/>
          <w:color w:val="000000" w:themeColor="text1"/>
          <w:sz w:val="18"/>
          <w:szCs w:val="18"/>
        </w:rPr>
        <w:t>Методы</w:t>
      </w:r>
      <w:proofErr w:type="spellEnd"/>
      <w:r w:rsidR="00192758" w:rsidRPr="009630C8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="00192758" w:rsidRPr="009630C8">
        <w:rPr>
          <w:i/>
          <w:color w:val="000000" w:themeColor="text1"/>
          <w:sz w:val="18"/>
          <w:szCs w:val="18"/>
        </w:rPr>
        <w:t>оценки</w:t>
      </w:r>
      <w:proofErr w:type="spellEnd"/>
      <w:r w:rsidR="00192758" w:rsidRPr="009630C8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="00192758" w:rsidRPr="009630C8">
        <w:rPr>
          <w:i/>
          <w:color w:val="000000" w:themeColor="text1"/>
          <w:sz w:val="18"/>
          <w:szCs w:val="18"/>
        </w:rPr>
        <w:t>вероятности</w:t>
      </w:r>
      <w:proofErr w:type="spellEnd"/>
      <w:r w:rsidR="00192758" w:rsidRPr="009630C8">
        <w:rPr>
          <w:i/>
          <w:color w:val="000000" w:themeColor="text1"/>
          <w:sz w:val="18"/>
          <w:szCs w:val="18"/>
        </w:rPr>
        <w:t xml:space="preserve"> банкротства </w:t>
      </w:r>
      <w:proofErr w:type="spellStart"/>
      <w:r w:rsidR="00192758" w:rsidRPr="009630C8">
        <w:rPr>
          <w:i/>
          <w:color w:val="000000" w:themeColor="text1"/>
          <w:sz w:val="18"/>
          <w:szCs w:val="18"/>
        </w:rPr>
        <w:t>предприятия</w:t>
      </w:r>
      <w:proofErr w:type="spellEnd"/>
      <w:r w:rsidR="00CD034F" w:rsidRPr="009630C8">
        <w:rPr>
          <w:color w:val="000000" w:themeColor="text1"/>
          <w:sz w:val="18"/>
          <w:szCs w:val="18"/>
        </w:rPr>
        <w:t>,</w:t>
      </w:r>
      <w:r w:rsidR="00192758" w:rsidRPr="009630C8">
        <w:rPr>
          <w:color w:val="000000" w:themeColor="text1"/>
          <w:sz w:val="18"/>
          <w:szCs w:val="18"/>
          <w:lang w:val="ru-RU"/>
        </w:rPr>
        <w:t xml:space="preserve"> Санкт-Петербург, Россия: </w:t>
      </w:r>
      <w:proofErr w:type="spellStart"/>
      <w:r w:rsidR="00192758" w:rsidRPr="009630C8">
        <w:rPr>
          <w:color w:val="000000" w:themeColor="text1"/>
          <w:sz w:val="18"/>
          <w:szCs w:val="18"/>
          <w:lang w:val="ru-RU"/>
        </w:rPr>
        <w:t>Изд</w:t>
      </w:r>
      <w:proofErr w:type="spellEnd"/>
      <w:r w:rsidR="00192758" w:rsidRPr="009630C8">
        <w:rPr>
          <w:color w:val="000000" w:themeColor="text1"/>
          <w:sz w:val="18"/>
          <w:szCs w:val="18"/>
          <w:lang w:val="ru-RU"/>
        </w:rPr>
        <w:t xml:space="preserve">–во </w:t>
      </w:r>
      <w:proofErr w:type="spellStart"/>
      <w:r w:rsidR="00192758" w:rsidRPr="009630C8">
        <w:rPr>
          <w:color w:val="000000" w:themeColor="text1"/>
          <w:sz w:val="18"/>
          <w:szCs w:val="18"/>
          <w:lang w:val="ru-RU"/>
        </w:rPr>
        <w:t>СПбГУЭФ</w:t>
      </w:r>
      <w:proofErr w:type="spellEnd"/>
      <w:r w:rsidR="00192758" w:rsidRPr="009630C8">
        <w:rPr>
          <w:color w:val="000000" w:themeColor="text1"/>
          <w:sz w:val="18"/>
          <w:szCs w:val="18"/>
          <w:lang w:val="ru-RU"/>
        </w:rPr>
        <w:t>, 2012</w:t>
      </w:r>
      <w:r w:rsidR="000B420D" w:rsidRPr="009630C8">
        <w:rPr>
          <w:color w:val="000000" w:themeColor="text1"/>
          <w:sz w:val="18"/>
          <w:szCs w:val="18"/>
        </w:rPr>
        <w:t>.</w:t>
      </w:r>
      <w:bookmarkEnd w:id="3"/>
    </w:p>
    <w:p w14:paraId="34762BB6" w14:textId="77777777" w:rsidR="002F17FA" w:rsidRPr="009630C8" w:rsidRDefault="00B6379A" w:rsidP="00A2234B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18"/>
          <w:szCs w:val="18"/>
          <w:lang w:val="uk-UA"/>
        </w:rPr>
      </w:pPr>
      <w:r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>2</w:t>
      </w:r>
      <w:r w:rsidR="000B420D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. </w:t>
      </w:r>
      <w:bookmarkStart w:id="4" w:name="_Ref501487191"/>
      <w:r w:rsidR="00192758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О. О. Терещенко, </w:t>
      </w:r>
      <w:r w:rsidR="00192758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>Антикризове фінансове управління на підприємстві</w:t>
      </w:r>
      <w:r w:rsidR="000074A1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 xml:space="preserve">, </w:t>
      </w:r>
      <w:r w:rsidR="000074A1" w:rsidRPr="009630C8">
        <w:rPr>
          <w:rFonts w:ascii="Times New Roman" w:hAnsi="Times New Roman"/>
          <w:color w:val="000000" w:themeColor="text1"/>
          <w:sz w:val="18"/>
          <w:szCs w:val="18"/>
        </w:rPr>
        <w:t>Ки</w:t>
      </w:r>
      <w:r w:rsidR="000074A1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>їв, Україна: КНЕУ, 2006</w:t>
      </w:r>
      <w:r w:rsidR="002F17FA" w:rsidRPr="009630C8">
        <w:rPr>
          <w:rFonts w:ascii="Times New Roman" w:hAnsi="Times New Roman"/>
          <w:color w:val="000000" w:themeColor="text1"/>
          <w:sz w:val="18"/>
          <w:szCs w:val="18"/>
        </w:rPr>
        <w:t>.</w:t>
      </w:r>
      <w:bookmarkEnd w:id="4"/>
    </w:p>
    <w:p w14:paraId="3477A5EE" w14:textId="77777777" w:rsidR="002F17FA" w:rsidRPr="009630C8" w:rsidRDefault="00B6379A" w:rsidP="00A2234B">
      <w:pPr>
        <w:pStyle w:val="a6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</w:pPr>
      <w:r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>3</w:t>
      </w:r>
      <w:r w:rsidR="000B420D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. </w:t>
      </w:r>
      <w:bookmarkStart w:id="5" w:name="_Ref479844662"/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А.В. Матвійчук</w:t>
      </w:r>
      <w:r w:rsidR="00E65EEF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,</w:t>
      </w:r>
      <w:r w:rsidR="002F17FA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 </w:t>
      </w:r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«Нечіткі, </w:t>
      </w:r>
      <w:proofErr w:type="spellStart"/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нейромережеві</w:t>
      </w:r>
      <w:proofErr w:type="spellEnd"/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 та </w:t>
      </w:r>
      <w:proofErr w:type="spellStart"/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дискримінантні</w:t>
      </w:r>
      <w:proofErr w:type="spellEnd"/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 моделі діагностування можливості банкрутства підприємств»</w:t>
      </w:r>
      <w:r w:rsidR="00E65EEF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, </w:t>
      </w:r>
      <w:proofErr w:type="spellStart"/>
      <w:r w:rsidR="009630C8" w:rsidRPr="009630C8">
        <w:rPr>
          <w:rFonts w:ascii="Times New Roman" w:hAnsi="Times New Roman"/>
          <w:bCs/>
          <w:i/>
          <w:iCs/>
          <w:color w:val="000000" w:themeColor="text1"/>
          <w:sz w:val="18"/>
          <w:szCs w:val="18"/>
          <w:lang w:val="uk-UA"/>
        </w:rPr>
        <w:t>Нейро</w:t>
      </w:r>
      <w:proofErr w:type="spellEnd"/>
      <w:r w:rsidR="009630C8" w:rsidRPr="009630C8">
        <w:rPr>
          <w:rFonts w:ascii="Times New Roman" w:hAnsi="Times New Roman"/>
          <w:bCs/>
          <w:i/>
          <w:iCs/>
          <w:color w:val="000000" w:themeColor="text1"/>
          <w:sz w:val="18"/>
          <w:szCs w:val="18"/>
          <w:lang w:val="uk-UA"/>
        </w:rPr>
        <w:t>-нечіткі технології моделювання в економіці,</w:t>
      </w:r>
      <w:r w:rsidR="002F17FA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 </w:t>
      </w:r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№2</w:t>
      </w:r>
      <w:r w:rsidR="00E65EEF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, с. </w:t>
      </w:r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71</w:t>
      </w:r>
      <w:r w:rsidR="00E65EEF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-1</w:t>
      </w:r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18</w:t>
      </w:r>
      <w:r w:rsidR="00E65EEF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, </w:t>
      </w:r>
      <w:r w:rsidR="002F17FA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201</w:t>
      </w:r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3</w:t>
      </w:r>
      <w:r w:rsidR="002F17FA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.</w:t>
      </w:r>
      <w:bookmarkEnd w:id="5"/>
    </w:p>
    <w:p w14:paraId="6D2579DE" w14:textId="77777777" w:rsidR="002F17FA" w:rsidRPr="009630C8" w:rsidRDefault="00B6379A" w:rsidP="00A2234B">
      <w:pPr>
        <w:pStyle w:val="a6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color w:val="000000" w:themeColor="text1"/>
          <w:sz w:val="18"/>
          <w:szCs w:val="18"/>
          <w:lang w:val="uk-UA"/>
        </w:rPr>
      </w:pPr>
      <w:r w:rsidRPr="009630C8">
        <w:rPr>
          <w:rFonts w:ascii="Times New Roman" w:hAnsi="Times New Roman"/>
          <w:bCs/>
          <w:sz w:val="18"/>
          <w:szCs w:val="18"/>
          <w:lang w:val="uk-UA"/>
        </w:rPr>
        <w:t>4</w:t>
      </w:r>
      <w:r w:rsidR="000B420D" w:rsidRPr="009630C8">
        <w:rPr>
          <w:rFonts w:ascii="Times New Roman" w:hAnsi="Times New Roman"/>
          <w:bCs/>
          <w:sz w:val="18"/>
          <w:szCs w:val="18"/>
          <w:lang w:val="uk-UA"/>
        </w:rPr>
        <w:t xml:space="preserve">. </w:t>
      </w:r>
      <w:bookmarkStart w:id="6" w:name="_Ref479844674"/>
      <w:r w:rsidR="009630C8" w:rsidRPr="009630C8">
        <w:rPr>
          <w:rFonts w:ascii="Times New Roman" w:hAnsi="Times New Roman"/>
          <w:bCs/>
          <w:sz w:val="18"/>
          <w:szCs w:val="18"/>
          <w:lang w:val="uk-UA"/>
        </w:rPr>
        <w:t xml:space="preserve">Міністерство фінансів України. (2016, Лип. 14) </w:t>
      </w:r>
      <w:r w:rsidR="009630C8" w:rsidRPr="009630C8">
        <w:rPr>
          <w:rFonts w:ascii="Times New Roman" w:hAnsi="Times New Roman"/>
          <w:bCs/>
          <w:i/>
          <w:sz w:val="18"/>
          <w:szCs w:val="18"/>
          <w:lang w:val="uk-UA"/>
        </w:rPr>
        <w:t xml:space="preserve">Наказ № 616, </w:t>
      </w:r>
      <w:r w:rsidR="00963376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 xml:space="preserve"> </w:t>
      </w:r>
      <w:r w:rsidR="009630C8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 xml:space="preserve">Про затвердження Порядку проведення оцінки фінансового стану потенційного </w:t>
      </w:r>
      <w:proofErr w:type="spellStart"/>
      <w:r w:rsidR="009630C8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>бенефіціара</w:t>
      </w:r>
      <w:proofErr w:type="spellEnd"/>
      <w:r w:rsidR="009630C8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 xml:space="preserve"> інвестиційного проекту, реалізація якого передбачається на умовах фінансової самоокупності, а також визначення виду забезпечення для обслуговування та погашення позики, наданої за рахунок коштів міжнародних фінансових організацій, обслуговування якої здійснюватиметься за рахунок коштів </w:t>
      </w:r>
      <w:proofErr w:type="spellStart"/>
      <w:r w:rsidR="009630C8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>бенефіціара</w:t>
      </w:r>
      <w:proofErr w:type="spellEnd"/>
      <w:r w:rsidR="009630C8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 xml:space="preserve">. </w:t>
      </w:r>
      <w:r w:rsidR="009630C8" w:rsidRPr="009630C8">
        <w:rPr>
          <w:rFonts w:ascii="Times New Roman" w:hAnsi="Times New Roman"/>
          <w:color w:val="000000" w:themeColor="text1"/>
          <w:sz w:val="18"/>
          <w:szCs w:val="18"/>
        </w:rPr>
        <w:t>[</w:t>
      </w:r>
      <w:r w:rsidR="009630C8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>Електронний ресурс</w:t>
      </w:r>
      <w:r w:rsidR="009630C8" w:rsidRPr="009630C8">
        <w:rPr>
          <w:rFonts w:ascii="Times New Roman" w:hAnsi="Times New Roman"/>
          <w:color w:val="000000" w:themeColor="text1"/>
          <w:sz w:val="18"/>
          <w:szCs w:val="18"/>
        </w:rPr>
        <w:t>]</w:t>
      </w:r>
      <w:r w:rsidR="009630C8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. Доступно: </w:t>
      </w:r>
      <w:r w:rsidR="00963376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 </w:t>
      </w:r>
      <w:r w:rsidR="009630C8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https://zakon.rada.gov.ua/laws/show/z1095-16</w:t>
      </w:r>
      <w:r w:rsidR="002F17FA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.</w:t>
      </w:r>
      <w:bookmarkEnd w:id="6"/>
    </w:p>
    <w:p w14:paraId="51C134C1" w14:textId="77777777" w:rsidR="000B420D" w:rsidRPr="006948D6" w:rsidRDefault="00B6379A" w:rsidP="006948D6">
      <w:pPr>
        <w:pStyle w:val="a6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bCs/>
          <w:sz w:val="18"/>
          <w:szCs w:val="18"/>
          <w:highlight w:val="yellow"/>
          <w:lang w:val="uk-UA"/>
        </w:rPr>
      </w:pPr>
      <w:r w:rsidRPr="009630C8">
        <w:rPr>
          <w:rFonts w:ascii="Times New Roman" w:hAnsi="Times New Roman"/>
          <w:bCs/>
          <w:sz w:val="18"/>
          <w:szCs w:val="18"/>
          <w:lang w:val="uk-UA"/>
        </w:rPr>
        <w:t>5</w:t>
      </w:r>
      <w:r w:rsidR="000B420D" w:rsidRPr="009630C8">
        <w:rPr>
          <w:rFonts w:ascii="Times New Roman" w:hAnsi="Times New Roman"/>
          <w:bCs/>
          <w:sz w:val="18"/>
          <w:szCs w:val="18"/>
          <w:lang w:val="uk-UA"/>
        </w:rPr>
        <w:t xml:space="preserve">. </w:t>
      </w:r>
      <w:r w:rsidR="006948D6" w:rsidRPr="006948D6">
        <w:rPr>
          <w:rFonts w:ascii="Times New Roman" w:hAnsi="Times New Roman"/>
          <w:bCs/>
          <w:sz w:val="18"/>
          <w:szCs w:val="18"/>
          <w:lang w:val="uk-UA"/>
        </w:rPr>
        <w:t>Правління Національного банку України</w:t>
      </w:r>
      <w:r w:rsidR="006948D6" w:rsidRPr="009630C8">
        <w:rPr>
          <w:rFonts w:ascii="Times New Roman" w:hAnsi="Times New Roman"/>
          <w:bCs/>
          <w:sz w:val="18"/>
          <w:szCs w:val="18"/>
          <w:lang w:val="uk-UA"/>
        </w:rPr>
        <w:t xml:space="preserve">. (2016, </w:t>
      </w:r>
      <w:r w:rsidR="006948D6">
        <w:rPr>
          <w:rFonts w:ascii="Times New Roman" w:hAnsi="Times New Roman"/>
          <w:bCs/>
          <w:sz w:val="18"/>
          <w:szCs w:val="18"/>
          <w:lang w:val="uk-UA"/>
        </w:rPr>
        <w:t>Черв</w:t>
      </w:r>
      <w:r w:rsidR="006948D6" w:rsidRPr="009630C8">
        <w:rPr>
          <w:rFonts w:ascii="Times New Roman" w:hAnsi="Times New Roman"/>
          <w:bCs/>
          <w:sz w:val="18"/>
          <w:szCs w:val="18"/>
          <w:lang w:val="uk-UA"/>
        </w:rPr>
        <w:t>.</w:t>
      </w:r>
      <w:r w:rsidR="006948D6">
        <w:rPr>
          <w:rFonts w:ascii="Times New Roman" w:hAnsi="Times New Roman"/>
          <w:bCs/>
          <w:sz w:val="18"/>
          <w:szCs w:val="18"/>
          <w:lang w:val="uk-UA"/>
        </w:rPr>
        <w:t xml:space="preserve"> 30</w:t>
      </w:r>
      <w:r w:rsidR="006948D6" w:rsidRPr="009630C8">
        <w:rPr>
          <w:rFonts w:ascii="Times New Roman" w:hAnsi="Times New Roman"/>
          <w:bCs/>
          <w:sz w:val="18"/>
          <w:szCs w:val="18"/>
          <w:lang w:val="uk-UA"/>
        </w:rPr>
        <w:t xml:space="preserve">) </w:t>
      </w:r>
      <w:r w:rsidR="006948D6">
        <w:rPr>
          <w:rFonts w:ascii="Times New Roman" w:hAnsi="Times New Roman"/>
          <w:bCs/>
          <w:i/>
          <w:sz w:val="18"/>
          <w:szCs w:val="18"/>
          <w:lang w:val="uk-UA"/>
        </w:rPr>
        <w:t>Постанова</w:t>
      </w:r>
      <w:r w:rsidR="006948D6" w:rsidRPr="009630C8">
        <w:rPr>
          <w:rFonts w:ascii="Times New Roman" w:hAnsi="Times New Roman"/>
          <w:bCs/>
          <w:i/>
          <w:sz w:val="18"/>
          <w:szCs w:val="18"/>
          <w:lang w:val="uk-UA"/>
        </w:rPr>
        <w:t xml:space="preserve"> № </w:t>
      </w:r>
      <w:r w:rsidR="006948D6">
        <w:rPr>
          <w:rFonts w:ascii="Times New Roman" w:hAnsi="Times New Roman"/>
          <w:bCs/>
          <w:i/>
          <w:sz w:val="18"/>
          <w:szCs w:val="18"/>
          <w:lang w:val="uk-UA"/>
        </w:rPr>
        <w:t>351</w:t>
      </w:r>
      <w:r w:rsidR="006948D6" w:rsidRPr="009630C8">
        <w:rPr>
          <w:rFonts w:ascii="Times New Roman" w:hAnsi="Times New Roman"/>
          <w:bCs/>
          <w:i/>
          <w:sz w:val="18"/>
          <w:szCs w:val="18"/>
          <w:lang w:val="uk-UA"/>
        </w:rPr>
        <w:t xml:space="preserve">, </w:t>
      </w:r>
      <w:r w:rsidR="006948D6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 xml:space="preserve"> </w:t>
      </w:r>
      <w:r w:rsidR="006948D6" w:rsidRPr="006948D6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>Про затвердження Положення про визначення банками України розміру кредитного ризику за активними банківськими операціями</w:t>
      </w:r>
      <w:r w:rsidR="006948D6" w:rsidRPr="009630C8">
        <w:rPr>
          <w:rFonts w:ascii="Times New Roman" w:hAnsi="Times New Roman"/>
          <w:i/>
          <w:color w:val="000000" w:themeColor="text1"/>
          <w:sz w:val="18"/>
          <w:szCs w:val="18"/>
          <w:lang w:val="uk-UA"/>
        </w:rPr>
        <w:t xml:space="preserve">. </w:t>
      </w:r>
      <w:r w:rsidR="006948D6" w:rsidRPr="009630C8">
        <w:rPr>
          <w:rFonts w:ascii="Times New Roman" w:hAnsi="Times New Roman"/>
          <w:color w:val="000000" w:themeColor="text1"/>
          <w:sz w:val="18"/>
          <w:szCs w:val="18"/>
        </w:rPr>
        <w:t>[</w:t>
      </w:r>
      <w:r w:rsidR="006948D6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>Електронний ресурс</w:t>
      </w:r>
      <w:r w:rsidR="006948D6" w:rsidRPr="009630C8">
        <w:rPr>
          <w:rFonts w:ascii="Times New Roman" w:hAnsi="Times New Roman"/>
          <w:color w:val="000000" w:themeColor="text1"/>
          <w:sz w:val="18"/>
          <w:szCs w:val="18"/>
        </w:rPr>
        <w:t>]</w:t>
      </w:r>
      <w:r w:rsidR="006948D6" w:rsidRPr="009630C8">
        <w:rPr>
          <w:rFonts w:ascii="Times New Roman" w:hAnsi="Times New Roman"/>
          <w:color w:val="000000" w:themeColor="text1"/>
          <w:sz w:val="18"/>
          <w:szCs w:val="18"/>
          <w:lang w:val="uk-UA"/>
        </w:rPr>
        <w:t xml:space="preserve">. Доступно: </w:t>
      </w:r>
      <w:r w:rsidR="006948D6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 </w:t>
      </w:r>
      <w:r w:rsidR="006948D6" w:rsidRPr="006948D6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https://zakon.rada.gov.ua/</w:t>
      </w:r>
      <w:r w:rsidR="006948D6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 xml:space="preserve"> </w:t>
      </w:r>
      <w:proofErr w:type="spellStart"/>
      <w:r w:rsidR="006948D6" w:rsidRPr="006948D6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laws</w:t>
      </w:r>
      <w:proofErr w:type="spellEnd"/>
      <w:r w:rsidR="006948D6" w:rsidRPr="006948D6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/</w:t>
      </w:r>
      <w:proofErr w:type="spellStart"/>
      <w:r w:rsidR="006948D6" w:rsidRPr="006948D6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show</w:t>
      </w:r>
      <w:proofErr w:type="spellEnd"/>
      <w:r w:rsidR="006948D6" w:rsidRPr="006948D6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/v0351500-16</w:t>
      </w:r>
      <w:r w:rsidR="006948D6" w:rsidRPr="009630C8">
        <w:rPr>
          <w:rFonts w:ascii="Times New Roman" w:hAnsi="Times New Roman"/>
          <w:bCs/>
          <w:iCs/>
          <w:color w:val="000000" w:themeColor="text1"/>
          <w:sz w:val="18"/>
          <w:szCs w:val="18"/>
          <w:lang w:val="uk-UA"/>
        </w:rPr>
        <w:t>.</w:t>
      </w:r>
    </w:p>
    <w:sectPr w:rsidR="000B420D" w:rsidRPr="006948D6" w:rsidSect="00141466">
      <w:type w:val="continuous"/>
      <w:pgSz w:w="11906" w:h="16838"/>
      <w:pgMar w:top="1134" w:right="1134" w:bottom="1418" w:left="1418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777C9" w14:textId="77777777" w:rsidR="00F85C33" w:rsidRDefault="00F85C33" w:rsidP="00E659DD">
      <w:r>
        <w:separator/>
      </w:r>
    </w:p>
  </w:endnote>
  <w:endnote w:type="continuationSeparator" w:id="0">
    <w:p w14:paraId="47546C87" w14:textId="77777777" w:rsidR="00F85C33" w:rsidRDefault="00F85C33" w:rsidP="00E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20E9" w14:textId="77777777" w:rsidR="00E659DD" w:rsidRDefault="00E659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5AE4D" w14:textId="77777777" w:rsidR="00E659DD" w:rsidRDefault="00E659D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8CB6" w14:textId="77777777" w:rsidR="00E659DD" w:rsidRDefault="00E659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D1FCB" w14:textId="77777777" w:rsidR="00F85C33" w:rsidRDefault="00F85C33" w:rsidP="00E659DD">
      <w:r>
        <w:separator/>
      </w:r>
    </w:p>
  </w:footnote>
  <w:footnote w:type="continuationSeparator" w:id="0">
    <w:p w14:paraId="20011EF5" w14:textId="77777777" w:rsidR="00F85C33" w:rsidRDefault="00F85C33" w:rsidP="00E6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701DB" w14:textId="6C1185CD" w:rsidR="00E659DD" w:rsidRDefault="00E659DD">
    <w:pPr>
      <w:pStyle w:val="a8"/>
    </w:pPr>
    <w:r>
      <w:rPr>
        <w:noProof/>
      </w:rPr>
      <w:pict w14:anchorId="50B5DD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624610" o:spid="_x0000_s2050" type="#_x0000_t136" style="position:absolute;margin-left:0;margin-top:0;width:636.4pt;height:22.7pt;rotation:315;z-index:-251655168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Simon Kuznets Kharkiv National University of Economic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78C8" w14:textId="3375F9B7" w:rsidR="00E659DD" w:rsidRDefault="00E659DD">
    <w:pPr>
      <w:pStyle w:val="a8"/>
    </w:pPr>
    <w:r>
      <w:rPr>
        <w:noProof/>
      </w:rPr>
      <w:pict w14:anchorId="2A6659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624611" o:spid="_x0000_s2051" type="#_x0000_t136" style="position:absolute;margin-left:0;margin-top:0;width:636.4pt;height:22.7pt;rotation:315;z-index:-251653120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Simon Kuznets Kharkiv National University of Economic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82590" w14:textId="042FFA2E" w:rsidR="00E659DD" w:rsidRDefault="00E659DD">
    <w:pPr>
      <w:pStyle w:val="a8"/>
    </w:pPr>
    <w:r>
      <w:rPr>
        <w:noProof/>
      </w:rPr>
      <w:pict w14:anchorId="40792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624609" o:spid="_x0000_s2049" type="#_x0000_t136" style="position:absolute;margin-left:0;margin-top:0;width:636.4pt;height:22.7pt;rotation:315;z-index:-251657216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Simon Kuznets Kharkiv National University of Economic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37932"/>
    <w:multiLevelType w:val="hybridMultilevel"/>
    <w:tmpl w:val="E342D61A"/>
    <w:lvl w:ilvl="0" w:tplc="1F54491C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D7"/>
    <w:rsid w:val="00000613"/>
    <w:rsid w:val="000074A1"/>
    <w:rsid w:val="000479A9"/>
    <w:rsid w:val="00083C9A"/>
    <w:rsid w:val="000849ED"/>
    <w:rsid w:val="00085A8E"/>
    <w:rsid w:val="00094954"/>
    <w:rsid w:val="000B2D84"/>
    <w:rsid w:val="000B367A"/>
    <w:rsid w:val="000B420D"/>
    <w:rsid w:val="000D35F5"/>
    <w:rsid w:val="000F3248"/>
    <w:rsid w:val="0013058C"/>
    <w:rsid w:val="00131F83"/>
    <w:rsid w:val="00141466"/>
    <w:rsid w:val="00161A83"/>
    <w:rsid w:val="00192758"/>
    <w:rsid w:val="001A3588"/>
    <w:rsid w:val="001B1019"/>
    <w:rsid w:val="001B673D"/>
    <w:rsid w:val="0024284C"/>
    <w:rsid w:val="00261EEF"/>
    <w:rsid w:val="00263A6F"/>
    <w:rsid w:val="00285884"/>
    <w:rsid w:val="00286F32"/>
    <w:rsid w:val="00293CFA"/>
    <w:rsid w:val="00296955"/>
    <w:rsid w:val="002A76EA"/>
    <w:rsid w:val="002B14A8"/>
    <w:rsid w:val="002E6356"/>
    <w:rsid w:val="002F17FA"/>
    <w:rsid w:val="002F70DC"/>
    <w:rsid w:val="00301D37"/>
    <w:rsid w:val="0036594C"/>
    <w:rsid w:val="003F560A"/>
    <w:rsid w:val="00427898"/>
    <w:rsid w:val="004701DD"/>
    <w:rsid w:val="00470C57"/>
    <w:rsid w:val="004A036C"/>
    <w:rsid w:val="004A2494"/>
    <w:rsid w:val="004B7444"/>
    <w:rsid w:val="004D51DD"/>
    <w:rsid w:val="004D5EA7"/>
    <w:rsid w:val="004F14F9"/>
    <w:rsid w:val="005071A4"/>
    <w:rsid w:val="00523686"/>
    <w:rsid w:val="00527C99"/>
    <w:rsid w:val="00551050"/>
    <w:rsid w:val="00552C2F"/>
    <w:rsid w:val="00556A39"/>
    <w:rsid w:val="0056581D"/>
    <w:rsid w:val="00567966"/>
    <w:rsid w:val="005873F0"/>
    <w:rsid w:val="005B0603"/>
    <w:rsid w:val="005B7168"/>
    <w:rsid w:val="0061481B"/>
    <w:rsid w:val="00620783"/>
    <w:rsid w:val="00646218"/>
    <w:rsid w:val="006948D6"/>
    <w:rsid w:val="006B127E"/>
    <w:rsid w:val="006F0DD5"/>
    <w:rsid w:val="0070094A"/>
    <w:rsid w:val="00713D81"/>
    <w:rsid w:val="00736F71"/>
    <w:rsid w:val="00740DE1"/>
    <w:rsid w:val="007975D9"/>
    <w:rsid w:val="007A2BA5"/>
    <w:rsid w:val="007B7063"/>
    <w:rsid w:val="007D1BBD"/>
    <w:rsid w:val="007F5F88"/>
    <w:rsid w:val="00800914"/>
    <w:rsid w:val="00803235"/>
    <w:rsid w:val="00806CB4"/>
    <w:rsid w:val="0081457C"/>
    <w:rsid w:val="00817912"/>
    <w:rsid w:val="0083787F"/>
    <w:rsid w:val="00862894"/>
    <w:rsid w:val="008902B8"/>
    <w:rsid w:val="008A29F2"/>
    <w:rsid w:val="008B4EE1"/>
    <w:rsid w:val="008C2120"/>
    <w:rsid w:val="008C745B"/>
    <w:rsid w:val="008D3648"/>
    <w:rsid w:val="00910C7B"/>
    <w:rsid w:val="0092542B"/>
    <w:rsid w:val="0093073B"/>
    <w:rsid w:val="00935A13"/>
    <w:rsid w:val="00955ABD"/>
    <w:rsid w:val="009630C8"/>
    <w:rsid w:val="00963376"/>
    <w:rsid w:val="009D6632"/>
    <w:rsid w:val="009E579B"/>
    <w:rsid w:val="00A17DD0"/>
    <w:rsid w:val="00A2234B"/>
    <w:rsid w:val="00A30C69"/>
    <w:rsid w:val="00A36C1B"/>
    <w:rsid w:val="00A37455"/>
    <w:rsid w:val="00A82C79"/>
    <w:rsid w:val="00AA6FB9"/>
    <w:rsid w:val="00AD1F38"/>
    <w:rsid w:val="00AF0195"/>
    <w:rsid w:val="00B15366"/>
    <w:rsid w:val="00B60D98"/>
    <w:rsid w:val="00B6379A"/>
    <w:rsid w:val="00B657A8"/>
    <w:rsid w:val="00B725BE"/>
    <w:rsid w:val="00B820F2"/>
    <w:rsid w:val="00B85477"/>
    <w:rsid w:val="00BA7DD7"/>
    <w:rsid w:val="00BF28D8"/>
    <w:rsid w:val="00C62259"/>
    <w:rsid w:val="00C643DB"/>
    <w:rsid w:val="00C90E92"/>
    <w:rsid w:val="00CA413E"/>
    <w:rsid w:val="00CA4AB5"/>
    <w:rsid w:val="00CD034F"/>
    <w:rsid w:val="00CF111A"/>
    <w:rsid w:val="00D50633"/>
    <w:rsid w:val="00D533B9"/>
    <w:rsid w:val="00D659D2"/>
    <w:rsid w:val="00DB1440"/>
    <w:rsid w:val="00DB329E"/>
    <w:rsid w:val="00DB5319"/>
    <w:rsid w:val="00DF4913"/>
    <w:rsid w:val="00E00017"/>
    <w:rsid w:val="00E659DD"/>
    <w:rsid w:val="00E65EEF"/>
    <w:rsid w:val="00E718A1"/>
    <w:rsid w:val="00E96333"/>
    <w:rsid w:val="00EC7890"/>
    <w:rsid w:val="00EE13C9"/>
    <w:rsid w:val="00F04EC7"/>
    <w:rsid w:val="00F11D04"/>
    <w:rsid w:val="00F36978"/>
    <w:rsid w:val="00F64C2C"/>
    <w:rsid w:val="00F7362C"/>
    <w:rsid w:val="00F81646"/>
    <w:rsid w:val="00F85C33"/>
    <w:rsid w:val="00F93698"/>
    <w:rsid w:val="00FA00A5"/>
    <w:rsid w:val="00FA65E7"/>
    <w:rsid w:val="00FB6E22"/>
    <w:rsid w:val="00FD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35AA58"/>
  <w15:docId w15:val="{A7F1A7E6-C173-4685-80C6-BAB4C359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27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DD7"/>
    <w:rPr>
      <w:color w:val="0000FF" w:themeColor="hyperlink"/>
      <w:u w:val="single"/>
    </w:rPr>
  </w:style>
  <w:style w:type="paragraph" w:customStyle="1" w:styleId="Default">
    <w:name w:val="Default"/>
    <w:rsid w:val="00B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A7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D7"/>
    <w:rPr>
      <w:rFonts w:ascii="Tahoma" w:eastAsia="MS Mincho" w:hAnsi="Tahoma" w:cs="Tahoma"/>
      <w:sz w:val="16"/>
      <w:szCs w:val="16"/>
      <w:lang w:val="ru-RU" w:eastAsia="ar-SA"/>
    </w:rPr>
  </w:style>
  <w:style w:type="paragraph" w:styleId="a6">
    <w:name w:val="List Paragraph"/>
    <w:basedOn w:val="a"/>
    <w:uiPriority w:val="34"/>
    <w:qFormat/>
    <w:rsid w:val="000B42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A4A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nhideWhenUsed/>
    <w:rsid w:val="00CA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A4A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659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59DD"/>
    <w:rPr>
      <w:rFonts w:ascii="Times New Roman" w:eastAsia="MS Mincho" w:hAnsi="Times New Roman" w:cs="Times New Roman"/>
      <w:sz w:val="24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E659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59DD"/>
    <w:rPr>
      <w:rFonts w:ascii="Times New Roman" w:eastAsia="MS Mincho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kamay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6AD9-C39B-4722-9161-2A82F265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macht</dc:creator>
  <cp:lastModifiedBy>User</cp:lastModifiedBy>
  <cp:revision>2</cp:revision>
  <dcterms:created xsi:type="dcterms:W3CDTF">2020-05-11T19:04:00Z</dcterms:created>
  <dcterms:modified xsi:type="dcterms:W3CDTF">2020-05-11T19:04:00Z</dcterms:modified>
</cp:coreProperties>
</file>